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A034E" w14:textId="6E405B8B" w:rsidR="00EB6E20" w:rsidRDefault="00EB6E20" w:rsidP="00EB6E20">
      <w:pPr>
        <w:shd w:val="clear" w:color="auto" w:fill="FFFFFF"/>
        <w:spacing w:after="0"/>
        <w:rPr>
          <w:rFonts w:asciiTheme="majorHAnsi" w:hAnsiTheme="majorHAnsi" w:cs="Arial"/>
        </w:rPr>
      </w:pPr>
    </w:p>
    <w:p w14:paraId="076B307E" w14:textId="3F38011E" w:rsidR="00EB6E20" w:rsidRPr="00CA4A11" w:rsidRDefault="00EB6E20" w:rsidP="00EB6E20">
      <w:pPr>
        <w:shd w:val="clear" w:color="auto" w:fill="FFFFFF"/>
        <w:spacing w:after="0"/>
        <w:rPr>
          <w:rFonts w:ascii="Calibri Light" w:hAnsi="Calibri Light" w:cstheme="minorHAnsi"/>
        </w:rPr>
      </w:pPr>
      <w:r w:rsidRPr="00CA4A11">
        <w:rPr>
          <w:rFonts w:ascii="Calibri Light" w:hAnsi="Calibri Light" w:cstheme="minorHAnsi"/>
        </w:rPr>
        <w:t>To Whom It May Concern:</w:t>
      </w:r>
    </w:p>
    <w:p w14:paraId="628FB43D" w14:textId="77777777" w:rsidR="00EB6E20" w:rsidRPr="00CA4A11" w:rsidRDefault="00EB6E20" w:rsidP="00EB6E20">
      <w:pPr>
        <w:shd w:val="clear" w:color="auto" w:fill="FFFFFF"/>
        <w:spacing w:after="0"/>
        <w:rPr>
          <w:rFonts w:ascii="Calibri Light" w:hAnsi="Calibri Light" w:cstheme="minorHAnsi"/>
        </w:rPr>
      </w:pPr>
    </w:p>
    <w:p w14:paraId="776B4912" w14:textId="228AE3E0" w:rsidR="00EB6E20" w:rsidRPr="00CA4A11" w:rsidRDefault="00EB6E20" w:rsidP="00EB6E20">
      <w:pPr>
        <w:shd w:val="clear" w:color="auto" w:fill="FFFFFF"/>
        <w:spacing w:after="0"/>
        <w:rPr>
          <w:rFonts w:ascii="Calibri Light" w:hAnsi="Calibri Light" w:cstheme="minorHAnsi"/>
        </w:rPr>
      </w:pPr>
      <w:r w:rsidRPr="00CA4A11">
        <w:rPr>
          <w:rFonts w:ascii="Calibri Light" w:hAnsi="Calibri Light" w:cstheme="minorHAnsi"/>
        </w:rPr>
        <w:t xml:space="preserve">Thank you for the opportunity to comment on the proposed rule to ban electrical stimulation devices (ESD) that are used </w:t>
      </w:r>
      <w:r w:rsidR="00A905B8" w:rsidRPr="00CA4A11">
        <w:rPr>
          <w:rFonts w:ascii="Calibri Light" w:hAnsi="Calibri Light" w:cstheme="minorHAnsi"/>
        </w:rPr>
        <w:t>to administer electrical shocks to children, youth, and adults</w:t>
      </w:r>
      <w:r w:rsidRPr="00CA4A11">
        <w:rPr>
          <w:rFonts w:ascii="Calibri Light" w:hAnsi="Calibri Light" w:cstheme="minorHAnsi"/>
        </w:rPr>
        <w:t xml:space="preserve">. The National Association of Councils on Developmental Disabilities (NACDD), Association of University Centers on Disabilities (AUCD) and National Disability Rights Network (NDRN) submit these comments in strong support of the proposed ban by the Food and Drug Administration (FDA). In 2014, NACDD, AUCD and NDRN all provided written and oral comments to the Neurological Devices Panel of the Medical Devices Advisory Committee which examined the </w:t>
      </w:r>
      <w:r w:rsidRPr="00CA4A11">
        <w:rPr>
          <w:rFonts w:ascii="Calibri Light" w:hAnsi="Calibri Light" w:cstheme="minorHAnsi"/>
          <w:shd w:val="clear" w:color="auto" w:fill="FFFFFF"/>
        </w:rPr>
        <w:t xml:space="preserve">safety and effectiveness of aversive conditioning devices that use a noxious electrical stimulus. At that time, NACDD, AUCD and NDRN all called for a ban of these devices. We are pleased to see the FDA has carefully weighed the evidence, and has issued the proposed ban of ESDs. </w:t>
      </w:r>
      <w:r w:rsidRPr="00CA4A11">
        <w:rPr>
          <w:rFonts w:ascii="Calibri Light" w:hAnsi="Calibri Light" w:cstheme="minorHAnsi"/>
        </w:rPr>
        <w:t>We agree with the FDA’s findings that the risks far outweigh any possible benefit, and that the substantial risks to illness or injury cannot be corrected or eliminated by labeling. As documented in the notice, there is more than sufficient evidence that exists to meet the standard for banning these devices.</w:t>
      </w:r>
    </w:p>
    <w:p w14:paraId="69DF271B" w14:textId="77777777" w:rsidR="00EB6E20" w:rsidRPr="00CA4A11" w:rsidRDefault="00EB6E20" w:rsidP="00CA4A11">
      <w:pPr>
        <w:pStyle w:val="Default"/>
        <w:jc w:val="center"/>
        <w:rPr>
          <w:rFonts w:ascii="Calibri Light" w:hAnsi="Calibri Light" w:cstheme="minorHAnsi"/>
          <w:color w:val="auto"/>
          <w:sz w:val="22"/>
          <w:szCs w:val="22"/>
        </w:rPr>
      </w:pPr>
    </w:p>
    <w:p w14:paraId="30EC227B" w14:textId="45E79DFB" w:rsidR="00EB6E20" w:rsidRPr="00CA4A11" w:rsidRDefault="00EB6E20" w:rsidP="00EB6E20">
      <w:pPr>
        <w:pStyle w:val="Default"/>
        <w:rPr>
          <w:rFonts w:ascii="Calibri Light" w:hAnsi="Calibri Light" w:cstheme="minorHAnsi"/>
          <w:color w:val="auto"/>
          <w:sz w:val="22"/>
          <w:szCs w:val="22"/>
        </w:rPr>
      </w:pPr>
      <w:r w:rsidRPr="00CA4A11">
        <w:rPr>
          <w:rFonts w:ascii="Calibri Light" w:hAnsi="Calibri Light" w:cstheme="minorHAnsi"/>
          <w:color w:val="auto"/>
          <w:sz w:val="22"/>
          <w:szCs w:val="22"/>
        </w:rPr>
        <w:t xml:space="preserve">NACDD, AUCD, and NDRN’s position supporting the proposed ban is supported by the federal policy, and other non-governmental organizations, as well as, the professional academic literature. </w:t>
      </w:r>
      <w:r w:rsidRPr="00CA4A11">
        <w:rPr>
          <w:rFonts w:ascii="Calibri Light" w:hAnsi="Calibri Light" w:cstheme="minorHAnsi"/>
          <w:color w:val="auto"/>
          <w:sz w:val="22"/>
          <w:szCs w:val="22"/>
          <w:shd w:val="clear" w:color="auto" w:fill="FFFFFF"/>
        </w:rPr>
        <w:t xml:space="preserve">As the FDA states in the notice, the continued use of these devices is against the weight of the evidence for how to effectively provide treatment to individuals with self-injurious or aggressive behaviors. </w:t>
      </w:r>
      <w:r w:rsidRPr="00CA4A11">
        <w:rPr>
          <w:rFonts w:ascii="Calibri Light" w:hAnsi="Calibri Light" w:cstheme="minorHAnsi"/>
          <w:color w:val="auto"/>
          <w:sz w:val="22"/>
          <w:szCs w:val="22"/>
        </w:rPr>
        <w:t>Current professional standards and use of evidence-based practices confirm that the use of ESDs fall outside the accepted standards of practice and the state of the art both within professional organizations and government entities at the state, national or international levels.  It has been over twenty years since leading researchers in the disability community stated “[t]he routine use of procedures that deliver pain (shock, pinching, slaps), procedures that result in harm (bruises, cuts, broken bones), and procedures that are disrespectful or dehumanizing (facial sprays, shaving cream in mouth, foul smells) are no longer acceptable.”</w:t>
      </w:r>
      <w:r w:rsidRPr="00CA4A11">
        <w:rPr>
          <w:rStyle w:val="FootnoteReference"/>
          <w:rFonts w:ascii="Calibri Light" w:hAnsi="Calibri Light" w:cstheme="minorHAnsi"/>
          <w:color w:val="auto"/>
          <w:sz w:val="22"/>
          <w:szCs w:val="22"/>
        </w:rPr>
        <w:footnoteReference w:id="1"/>
      </w:r>
      <w:r w:rsidRPr="00CA4A11">
        <w:rPr>
          <w:rFonts w:ascii="Calibri Light" w:hAnsi="Calibri Light" w:cstheme="minorHAnsi"/>
          <w:color w:val="auto"/>
          <w:sz w:val="22"/>
          <w:szCs w:val="22"/>
        </w:rPr>
        <w:t xml:space="preserve"> </w:t>
      </w:r>
    </w:p>
    <w:p w14:paraId="6DF3A332" w14:textId="77777777" w:rsidR="00EB6E20" w:rsidRPr="00CA4A11" w:rsidRDefault="00EB6E20" w:rsidP="00EB6E20">
      <w:pPr>
        <w:pStyle w:val="Default"/>
        <w:rPr>
          <w:rFonts w:ascii="Calibri Light" w:hAnsi="Calibri Light" w:cstheme="minorHAnsi"/>
          <w:color w:val="auto"/>
          <w:sz w:val="22"/>
          <w:szCs w:val="22"/>
          <w:shd w:val="clear" w:color="auto" w:fill="FFFFFF"/>
        </w:rPr>
      </w:pPr>
    </w:p>
    <w:p w14:paraId="36C89F30" w14:textId="1E684C3A" w:rsidR="00EB6E20" w:rsidRPr="00CA4A11" w:rsidRDefault="00EB6E20" w:rsidP="00EB6E20">
      <w:pPr>
        <w:pStyle w:val="Default"/>
        <w:rPr>
          <w:rFonts w:ascii="Calibri Light" w:hAnsi="Calibri Light" w:cstheme="minorHAnsi"/>
          <w:color w:val="auto"/>
          <w:sz w:val="22"/>
          <w:szCs w:val="22"/>
        </w:rPr>
      </w:pPr>
      <w:r w:rsidRPr="00CA4A11">
        <w:rPr>
          <w:rFonts w:ascii="Calibri Light" w:hAnsi="Calibri Light" w:cstheme="minorHAnsi"/>
          <w:color w:val="auto"/>
          <w:sz w:val="22"/>
          <w:szCs w:val="22"/>
          <w:shd w:val="clear" w:color="auto" w:fill="FFFFFF"/>
        </w:rPr>
        <w:t xml:space="preserve">NACDD, AUCD and NDRN are the </w:t>
      </w:r>
      <w:r w:rsidRPr="00CA4A11">
        <w:rPr>
          <w:rFonts w:ascii="Calibri Light" w:hAnsi="Calibri Light" w:cstheme="minorHAnsi"/>
          <w:color w:val="auto"/>
          <w:sz w:val="22"/>
          <w:szCs w:val="22"/>
        </w:rPr>
        <w:t xml:space="preserve">national membership associations for the three programs funded under the Developmental Disabilities Assistance and Bill of Rights Act (DD Act). These programs include the State Councils on Developmental Disabilities, University Centers for Excellence in Developmental Disabilities, and Protection and Advocacy Program for Persons with Developmental Disabilities. Each of these three programs are located in every state and territory. The DD Act charges these programs to “assure that individuals with developmental disabilities and their families participate in the design of and have access to needed community services, individualized </w:t>
      </w:r>
      <w:r w:rsidRPr="00CA4A11">
        <w:rPr>
          <w:rFonts w:ascii="Calibri Light" w:hAnsi="Calibri Light" w:cstheme="minorHAnsi"/>
          <w:color w:val="auto"/>
          <w:sz w:val="22"/>
          <w:szCs w:val="22"/>
        </w:rPr>
        <w:lastRenderedPageBreak/>
        <w:t>supports, and other forms of assistance that promote self-determination, independence, productivity, and integration and inclusion in all facets of community life, through culturally competent programs”.</w:t>
      </w:r>
      <w:r w:rsidRPr="00CA4A11">
        <w:rPr>
          <w:rStyle w:val="FootnoteReference"/>
          <w:rFonts w:ascii="Calibri Light" w:hAnsi="Calibri Light" w:cstheme="minorHAnsi"/>
          <w:color w:val="auto"/>
          <w:sz w:val="22"/>
          <w:szCs w:val="22"/>
        </w:rPr>
        <w:footnoteReference w:id="2"/>
      </w:r>
      <w:r w:rsidRPr="00CA4A11">
        <w:rPr>
          <w:rFonts w:ascii="Calibri Light" w:hAnsi="Calibri Light" w:cstheme="minorHAnsi"/>
          <w:color w:val="auto"/>
          <w:sz w:val="22"/>
          <w:szCs w:val="22"/>
        </w:rPr>
        <w:t xml:space="preserve"> </w:t>
      </w:r>
    </w:p>
    <w:p w14:paraId="498FCF2D" w14:textId="77777777" w:rsidR="00EB6E20" w:rsidRPr="00CA4A11" w:rsidRDefault="00EB6E20" w:rsidP="00EB6E20">
      <w:pPr>
        <w:pStyle w:val="Default"/>
        <w:rPr>
          <w:rFonts w:ascii="Calibri Light" w:hAnsi="Calibri Light" w:cstheme="minorHAnsi"/>
          <w:color w:val="auto"/>
          <w:sz w:val="22"/>
          <w:szCs w:val="22"/>
        </w:rPr>
      </w:pPr>
    </w:p>
    <w:p w14:paraId="2D0BC9EA" w14:textId="3EDCEE43" w:rsidR="00EB6E20" w:rsidRPr="00CA4A11" w:rsidRDefault="00EB6E20" w:rsidP="00EB6E20">
      <w:pPr>
        <w:shd w:val="clear" w:color="auto" w:fill="FFFFFF"/>
        <w:spacing w:after="0"/>
        <w:rPr>
          <w:rFonts w:ascii="Calibri Light" w:hAnsi="Calibri Light" w:cstheme="minorHAnsi"/>
        </w:rPr>
      </w:pPr>
      <w:r w:rsidRPr="00CA4A11">
        <w:rPr>
          <w:rFonts w:ascii="Calibri Light" w:hAnsi="Calibri Light" w:cstheme="minorHAnsi"/>
        </w:rPr>
        <w:t>The ongoing use of ESDs is in clear contradiction of the DD Act’s finding that “the goals of the Nation properly include a goal of providing individuals with developmental disabilities with the information, skills, opportunities, and support to… live free of abuse, neglect, financial and sexual exploitation, and violations of their legal and human rights</w:t>
      </w:r>
      <w:r w:rsidR="004F6DF1" w:rsidRPr="00CA4A11">
        <w:rPr>
          <w:rFonts w:ascii="Calibri Light" w:hAnsi="Calibri Light" w:cstheme="minorHAnsi"/>
        </w:rPr>
        <w:t>.</w:t>
      </w:r>
      <w:r w:rsidRPr="00CA4A11">
        <w:rPr>
          <w:rFonts w:ascii="Calibri Light" w:hAnsi="Calibri Light" w:cstheme="minorHAnsi"/>
        </w:rPr>
        <w:t>”</w:t>
      </w:r>
      <w:r w:rsidRPr="00CA4A11">
        <w:rPr>
          <w:rStyle w:val="FootnoteReference"/>
          <w:rFonts w:ascii="Calibri Light" w:hAnsi="Calibri Light" w:cstheme="minorHAnsi"/>
        </w:rPr>
        <w:footnoteReference w:id="3"/>
      </w:r>
      <w:r w:rsidR="004F6DF1" w:rsidRPr="00CA4A11">
        <w:rPr>
          <w:rFonts w:ascii="Calibri Light" w:hAnsi="Calibri Light" w:cstheme="minorHAnsi"/>
        </w:rPr>
        <w:t xml:space="preserve"> </w:t>
      </w:r>
      <w:r w:rsidRPr="00CA4A11">
        <w:rPr>
          <w:rFonts w:ascii="Calibri Light" w:hAnsi="Calibri Light" w:cstheme="minorHAnsi"/>
        </w:rPr>
        <w:t>The use of ESDs also disregards the Individuals with Disabilities Ed</w:t>
      </w:r>
      <w:bookmarkStart w:id="0" w:name="_GoBack"/>
      <w:bookmarkEnd w:id="0"/>
      <w:r w:rsidRPr="00CA4A11">
        <w:rPr>
          <w:rFonts w:ascii="Calibri Light" w:hAnsi="Calibri Light" w:cstheme="minorHAnsi"/>
        </w:rPr>
        <w:t>ucation Act’s (IDEA) clear pr</w:t>
      </w:r>
      <w:r w:rsidR="004F6DF1" w:rsidRPr="00CA4A11">
        <w:rPr>
          <w:rFonts w:ascii="Calibri Light" w:hAnsi="Calibri Light" w:cstheme="minorHAnsi"/>
        </w:rPr>
        <w:t>eference for positive behavior</w:t>
      </w:r>
      <w:r w:rsidRPr="00CA4A11">
        <w:rPr>
          <w:rFonts w:ascii="Calibri Light" w:hAnsi="Calibri Light" w:cstheme="minorHAnsi"/>
        </w:rPr>
        <w:t xml:space="preserve"> interventions</w:t>
      </w:r>
      <w:r w:rsidR="004F6DF1" w:rsidRPr="00CA4A11">
        <w:rPr>
          <w:rFonts w:ascii="Calibri Light" w:hAnsi="Calibri Light" w:cstheme="minorHAnsi"/>
        </w:rPr>
        <w:t xml:space="preserve"> and supports</w:t>
      </w:r>
      <w:r w:rsidRPr="00CA4A11">
        <w:rPr>
          <w:rFonts w:ascii="Calibri Light" w:hAnsi="Calibri Light" w:cstheme="minorHAnsi"/>
        </w:rPr>
        <w:t xml:space="preserve">. Furthermore, </w:t>
      </w:r>
      <w:r w:rsidR="004F6DF1" w:rsidRPr="00CA4A11">
        <w:rPr>
          <w:rFonts w:ascii="Calibri Light" w:hAnsi="Calibri Light" w:cstheme="minorHAnsi"/>
        </w:rPr>
        <w:t xml:space="preserve">in a May 2012 Resource Document, </w:t>
      </w:r>
      <w:r w:rsidRPr="00CA4A11">
        <w:rPr>
          <w:rFonts w:ascii="Calibri Light" w:hAnsi="Calibri Light" w:cstheme="minorHAnsi"/>
        </w:rPr>
        <w:t>the U.S. Department of Education stated that “any behavioral intervention must be consistent with the child’s rights to be treated with dignity and to be free from abuse</w:t>
      </w:r>
      <w:r w:rsidR="004F6DF1" w:rsidRPr="00CA4A11">
        <w:rPr>
          <w:rFonts w:ascii="Calibri Light" w:hAnsi="Calibri Light" w:cstheme="minorHAnsi"/>
        </w:rPr>
        <w:t>.</w:t>
      </w:r>
      <w:r w:rsidRPr="00CA4A11">
        <w:rPr>
          <w:rFonts w:ascii="Calibri Light" w:hAnsi="Calibri Light" w:cstheme="minorHAnsi"/>
        </w:rPr>
        <w:t>”</w:t>
      </w:r>
      <w:r w:rsidRPr="00CA4A11">
        <w:rPr>
          <w:rStyle w:val="FootnoteReference"/>
          <w:rFonts w:ascii="Calibri Light" w:hAnsi="Calibri Light" w:cstheme="minorHAnsi"/>
        </w:rPr>
        <w:footnoteReference w:id="4"/>
      </w:r>
      <w:r w:rsidRPr="00CA4A11">
        <w:rPr>
          <w:rFonts w:ascii="Calibri Light" w:hAnsi="Calibri Light" w:cstheme="minorHAnsi"/>
        </w:rPr>
        <w:t xml:space="preserve"> A ban on ESDs is consistent with federal policy. Additionally, on March 4, 2013, the UN Special Rapporteur on Torture issued a report to the Human Rights Council in Geneva singling out the United States for sanctioning electric shock that had been categorized as torture.  </w:t>
      </w:r>
    </w:p>
    <w:p w14:paraId="3CAD450D" w14:textId="77777777" w:rsidR="004F6DF1" w:rsidRPr="00CA4A11" w:rsidRDefault="004F6DF1" w:rsidP="00EB6E20">
      <w:pPr>
        <w:shd w:val="clear" w:color="auto" w:fill="FFFFFF"/>
        <w:spacing w:after="0"/>
        <w:rPr>
          <w:rFonts w:ascii="Calibri Light" w:hAnsi="Calibri Light" w:cstheme="minorHAnsi"/>
        </w:rPr>
      </w:pPr>
    </w:p>
    <w:p w14:paraId="57A14DED" w14:textId="77777777" w:rsidR="004F6DF1" w:rsidRPr="00CA4A11" w:rsidRDefault="00EB6E20" w:rsidP="00EB6E20">
      <w:pPr>
        <w:autoSpaceDE w:val="0"/>
        <w:autoSpaceDN w:val="0"/>
        <w:adjustRightInd w:val="0"/>
        <w:spacing w:after="0"/>
        <w:rPr>
          <w:rFonts w:ascii="Calibri Light" w:hAnsi="Calibri Light" w:cstheme="minorHAnsi"/>
        </w:rPr>
      </w:pPr>
      <w:r w:rsidRPr="00CA4A11">
        <w:rPr>
          <w:rFonts w:ascii="Calibri Light" w:hAnsi="Calibri Light" w:cstheme="minorHAnsi"/>
        </w:rPr>
        <w:t xml:space="preserve">As stated in the notice, ESDs are </w:t>
      </w:r>
      <w:r w:rsidR="004F6DF1" w:rsidRPr="00CA4A11">
        <w:rPr>
          <w:rFonts w:ascii="Calibri Light" w:hAnsi="Calibri Light" w:cstheme="minorHAnsi"/>
        </w:rPr>
        <w:t xml:space="preserve">aversive conditioning </w:t>
      </w:r>
      <w:r w:rsidRPr="00CA4A11">
        <w:rPr>
          <w:rFonts w:ascii="Calibri Light" w:hAnsi="Calibri Light" w:cstheme="minorHAnsi"/>
        </w:rPr>
        <w:t xml:space="preserve">devices that apply a noxious electrical stimulus to a person's skin upon the occurrence of a target behavior in an attempt to condition the individual over time to reduce or cease the behavior. The only known entity to manufacturer and use ESDs is the Judge Rotenberg Center (JRC) in Canton, Massachusetts. As the notice states, the </w:t>
      </w:r>
      <w:r w:rsidR="004F6DF1" w:rsidRPr="00CA4A11">
        <w:rPr>
          <w:rFonts w:ascii="Calibri Light" w:hAnsi="Calibri Light" w:cstheme="minorHAnsi"/>
        </w:rPr>
        <w:t>current ESD that is in use at JRC</w:t>
      </w:r>
      <w:r w:rsidRPr="00CA4A11">
        <w:rPr>
          <w:rFonts w:ascii="Calibri Light" w:hAnsi="Calibri Light" w:cstheme="minorHAnsi"/>
        </w:rPr>
        <w:t xml:space="preserve"> is the Graduated Electronic Decelerator (GED)-3A and GED-4, and both are </w:t>
      </w:r>
      <w:r w:rsidR="004F6DF1" w:rsidRPr="00CA4A11">
        <w:rPr>
          <w:rFonts w:ascii="Calibri Light" w:hAnsi="Calibri Light" w:cstheme="minorHAnsi"/>
        </w:rPr>
        <w:t xml:space="preserve">currently </w:t>
      </w:r>
      <w:r w:rsidRPr="00CA4A11">
        <w:rPr>
          <w:rFonts w:ascii="Calibri Light" w:hAnsi="Calibri Light" w:cstheme="minorHAnsi"/>
        </w:rPr>
        <w:t xml:space="preserve">unapproved by the FDA. </w:t>
      </w:r>
    </w:p>
    <w:p w14:paraId="6E710500" w14:textId="77777777" w:rsidR="004F6DF1" w:rsidRPr="00CA4A11" w:rsidRDefault="004F6DF1" w:rsidP="00EB6E20">
      <w:pPr>
        <w:autoSpaceDE w:val="0"/>
        <w:autoSpaceDN w:val="0"/>
        <w:adjustRightInd w:val="0"/>
        <w:spacing w:after="0"/>
        <w:rPr>
          <w:rFonts w:ascii="Calibri Light" w:hAnsi="Calibri Light" w:cstheme="minorHAnsi"/>
        </w:rPr>
      </w:pPr>
    </w:p>
    <w:p w14:paraId="384DE44F" w14:textId="174D4B93" w:rsidR="00EB6E20" w:rsidRPr="00CA4A11" w:rsidRDefault="00EB6E20" w:rsidP="00EB6E20">
      <w:pPr>
        <w:autoSpaceDE w:val="0"/>
        <w:autoSpaceDN w:val="0"/>
        <w:adjustRightInd w:val="0"/>
        <w:spacing w:after="0"/>
        <w:rPr>
          <w:rFonts w:ascii="Calibri Light" w:hAnsi="Calibri Light" w:cstheme="minorHAnsi"/>
        </w:rPr>
      </w:pPr>
      <w:r w:rsidRPr="00CA4A11">
        <w:rPr>
          <w:rFonts w:ascii="Calibri Light" w:hAnsi="Calibri Light" w:cstheme="minorHAnsi"/>
        </w:rPr>
        <w:t>The Disability Law Center, Inc. (DLC), the designated Protection and Advocacy agency for Massachusetts, has worked directly with individuals exposed to aversive behavioral interventions, such as the GED</w:t>
      </w:r>
      <w:r w:rsidR="004F6DF1" w:rsidRPr="00CA4A11">
        <w:rPr>
          <w:rFonts w:ascii="Calibri Light" w:hAnsi="Calibri Light" w:cstheme="minorHAnsi"/>
        </w:rPr>
        <w:t>s</w:t>
      </w:r>
      <w:r w:rsidRPr="00CA4A11">
        <w:rPr>
          <w:rFonts w:ascii="Calibri Light" w:hAnsi="Calibri Light" w:cstheme="minorHAnsi"/>
        </w:rPr>
        <w:t xml:space="preserve">. DLC has previously submitted testimony that articulates the safety issues based on the pain inflicted by the device, the misfiring of the device, and the long-term traumatic effects.  As discussed in the previous testimony of DLC, at any given time, residents may be wearing up to five GEDs simultaneously, so JRC residents are unaware of when, where, why and how many times they will be shocked. In addition, students are given shocks for minor incidents. DLC’s testimony chronicles the physical harm to one student: </w:t>
      </w:r>
    </w:p>
    <w:p w14:paraId="666308F9" w14:textId="77777777" w:rsidR="00EB6E20" w:rsidRPr="00CA4A11" w:rsidRDefault="00EB6E20" w:rsidP="00EB6E20">
      <w:pPr>
        <w:autoSpaceDE w:val="0"/>
        <w:autoSpaceDN w:val="0"/>
        <w:adjustRightInd w:val="0"/>
        <w:spacing w:after="0"/>
        <w:rPr>
          <w:rFonts w:ascii="Calibri Light" w:hAnsi="Calibri Light" w:cstheme="minorHAnsi"/>
        </w:rPr>
      </w:pPr>
    </w:p>
    <w:p w14:paraId="1F3C7D6C" w14:textId="77777777" w:rsidR="00EB6E20" w:rsidRPr="00CA4A11" w:rsidRDefault="00EB6E20" w:rsidP="00EB6E20">
      <w:pPr>
        <w:shd w:val="clear" w:color="auto" w:fill="FFFFFF"/>
        <w:spacing w:after="0"/>
        <w:ind w:left="720" w:right="720"/>
        <w:rPr>
          <w:rFonts w:ascii="Calibri Light" w:hAnsi="Calibri Light" w:cstheme="minorHAnsi"/>
        </w:rPr>
      </w:pPr>
      <w:r w:rsidRPr="00CA4A11">
        <w:rPr>
          <w:rFonts w:ascii="Calibri Light" w:hAnsi="Calibri Light" w:cstheme="minorHAnsi"/>
        </w:rPr>
        <w:t xml:space="preserve">…the burns and scars from being repeatedly shocked on her stomach. Electrodes had actually burned into her skin, and she experienced long-term loss of sensation, and numbness in the lower left leg after being shocked there. She describes feeling “searing pain all the way down to the bottom of her foot” and how she was “left with no feeling in her skin from the knee down for a year.” When electrodes were accidentally placed on students’ spines, she witnessed others being violently bent backwards.” </w:t>
      </w:r>
    </w:p>
    <w:p w14:paraId="6EA46017" w14:textId="77777777" w:rsidR="00EB6E20" w:rsidRPr="00CA4A11" w:rsidRDefault="00EB6E20" w:rsidP="00EB6E20">
      <w:pPr>
        <w:pStyle w:val="NoSpacing"/>
        <w:rPr>
          <w:rFonts w:ascii="Calibri Light" w:hAnsi="Calibri Light" w:cstheme="minorHAnsi"/>
        </w:rPr>
      </w:pPr>
    </w:p>
    <w:p w14:paraId="3307339D" w14:textId="1AE9E94E" w:rsidR="00EB6E20" w:rsidRPr="00CA4A11" w:rsidRDefault="00EB6E20" w:rsidP="00EB6E20">
      <w:pPr>
        <w:pStyle w:val="NoSpacing"/>
        <w:rPr>
          <w:rFonts w:ascii="Calibri Light" w:hAnsi="Calibri Light" w:cstheme="minorHAnsi"/>
        </w:rPr>
      </w:pPr>
      <w:r w:rsidRPr="00CA4A11">
        <w:rPr>
          <w:rFonts w:ascii="Calibri Light" w:hAnsi="Calibri Light" w:cstheme="minorHAnsi"/>
        </w:rPr>
        <w:t xml:space="preserve">Moreover, JRC residents are subjected to </w:t>
      </w:r>
      <w:proofErr w:type="spellStart"/>
      <w:r w:rsidRPr="00CA4A11">
        <w:rPr>
          <w:rFonts w:ascii="Calibri Light" w:hAnsi="Calibri Light" w:cstheme="minorHAnsi"/>
        </w:rPr>
        <w:t>misfirings</w:t>
      </w:r>
      <w:proofErr w:type="spellEnd"/>
      <w:r w:rsidRPr="00CA4A11">
        <w:rPr>
          <w:rFonts w:ascii="Calibri Light" w:hAnsi="Calibri Light" w:cstheme="minorHAnsi"/>
        </w:rPr>
        <w:t xml:space="preserve"> and misuse of the GED. This news video about a prank phone call which resulted in 29 shocks to one student and 77 shocks to another is one such example with the result of first degree burns, see </w:t>
      </w:r>
      <w:hyperlink r:id="rId8" w:history="1">
        <w:r w:rsidRPr="00CA4A11">
          <w:rPr>
            <w:rStyle w:val="Hyperlink"/>
            <w:rFonts w:ascii="Calibri Light" w:hAnsi="Calibri Light" w:cstheme="minorHAnsi"/>
          </w:rPr>
          <w:t>http://www.youtube.com/watch?v=-aUIhWmDPeI</w:t>
        </w:r>
      </w:hyperlink>
      <w:r w:rsidRPr="00CA4A11">
        <w:rPr>
          <w:rFonts w:ascii="Calibri Light" w:hAnsi="Calibri Light" w:cstheme="minorHAnsi"/>
        </w:rPr>
        <w:t>.</w:t>
      </w:r>
      <w:r w:rsidRPr="00CA4A11">
        <w:rPr>
          <w:rFonts w:ascii="Calibri Light" w:hAnsi="Calibri Light" w:cstheme="minorHAnsi"/>
        </w:rPr>
        <w:br/>
      </w:r>
    </w:p>
    <w:p w14:paraId="3653DF2F" w14:textId="4BF47D28" w:rsidR="00EB6E20" w:rsidRPr="00CA4A11" w:rsidRDefault="00EB6E20" w:rsidP="00EB6E20">
      <w:pPr>
        <w:pStyle w:val="Default"/>
        <w:rPr>
          <w:rFonts w:ascii="Calibri Light" w:hAnsi="Calibri Light" w:cstheme="minorHAnsi"/>
          <w:color w:val="auto"/>
          <w:sz w:val="22"/>
          <w:szCs w:val="22"/>
        </w:rPr>
      </w:pPr>
      <w:r w:rsidRPr="00CA4A11">
        <w:rPr>
          <w:rFonts w:ascii="Calibri Light" w:hAnsi="Calibri Light" w:cstheme="minorHAnsi"/>
          <w:color w:val="auto"/>
          <w:sz w:val="22"/>
          <w:szCs w:val="22"/>
        </w:rPr>
        <w:t xml:space="preserve">As the FDA notes, the use of ESDs are not consistent with proactive approaches or best practices in addressing the behavioral needs of students with disabilities. Behavioral supports should be person-centered, individually designed, positive, culturally appropriate, and allow for modifying or replacing the environment. There is significant research documenting that aversive behavior interventions are not effective long-term methods for </w:t>
      </w:r>
      <w:r w:rsidR="004F6DF1" w:rsidRPr="00CA4A11">
        <w:rPr>
          <w:rFonts w:ascii="Calibri Light" w:hAnsi="Calibri Light" w:cstheme="minorHAnsi"/>
          <w:color w:val="auto"/>
          <w:sz w:val="22"/>
          <w:szCs w:val="22"/>
        </w:rPr>
        <w:t>changing</w:t>
      </w:r>
      <w:r w:rsidRPr="00CA4A11">
        <w:rPr>
          <w:rFonts w:ascii="Calibri Light" w:hAnsi="Calibri Light" w:cstheme="minorHAnsi"/>
          <w:color w:val="auto"/>
          <w:sz w:val="22"/>
          <w:szCs w:val="22"/>
        </w:rPr>
        <w:t xml:space="preserve"> </w:t>
      </w:r>
      <w:r w:rsidR="004F6DF1" w:rsidRPr="00CA4A11">
        <w:rPr>
          <w:rFonts w:ascii="Calibri Light" w:hAnsi="Calibri Light" w:cstheme="minorHAnsi"/>
          <w:color w:val="auto"/>
          <w:sz w:val="22"/>
          <w:szCs w:val="22"/>
        </w:rPr>
        <w:t>behaviors. The use of aversive behavioral interventions</w:t>
      </w:r>
      <w:r w:rsidRPr="00CA4A11">
        <w:rPr>
          <w:rFonts w:ascii="Calibri Light" w:hAnsi="Calibri Light" w:cstheme="minorHAnsi"/>
          <w:color w:val="auto"/>
          <w:sz w:val="22"/>
          <w:szCs w:val="22"/>
        </w:rPr>
        <w:t xml:space="preserve"> can also result in the unintended consequence of hindering the development of the very skills and behaviors necessary to counter</w:t>
      </w:r>
      <w:r w:rsidR="004F6DF1" w:rsidRPr="00CA4A11">
        <w:rPr>
          <w:rFonts w:ascii="Calibri Light" w:hAnsi="Calibri Light" w:cstheme="minorHAnsi"/>
          <w:color w:val="auto"/>
          <w:sz w:val="22"/>
          <w:szCs w:val="22"/>
        </w:rPr>
        <w:t xml:space="preserve"> the behaviors of concern</w:t>
      </w:r>
      <w:r w:rsidRPr="00CA4A11">
        <w:rPr>
          <w:rFonts w:ascii="Calibri Light" w:hAnsi="Calibri Light" w:cstheme="minorHAnsi"/>
          <w:color w:val="auto"/>
          <w:sz w:val="22"/>
          <w:szCs w:val="22"/>
        </w:rPr>
        <w:t xml:space="preserve">. </w:t>
      </w:r>
    </w:p>
    <w:p w14:paraId="4AA5DD0C" w14:textId="77777777" w:rsidR="00EB6E20" w:rsidRPr="00CA4A11" w:rsidRDefault="00EB6E20" w:rsidP="00EB6E20">
      <w:pPr>
        <w:pStyle w:val="Default"/>
        <w:rPr>
          <w:rFonts w:ascii="Calibri Light" w:hAnsi="Calibri Light" w:cstheme="minorHAnsi"/>
          <w:color w:val="auto"/>
          <w:sz w:val="22"/>
          <w:szCs w:val="22"/>
        </w:rPr>
      </w:pPr>
    </w:p>
    <w:p w14:paraId="581E006E" w14:textId="7E9E491A" w:rsidR="00EB6E20" w:rsidRPr="00CA4A11" w:rsidRDefault="00EB6E20" w:rsidP="00EB6E20">
      <w:pPr>
        <w:shd w:val="clear" w:color="auto" w:fill="FFFFFF"/>
        <w:spacing w:after="0"/>
        <w:rPr>
          <w:rFonts w:ascii="Calibri Light" w:hAnsi="Calibri Light" w:cstheme="minorHAnsi"/>
        </w:rPr>
      </w:pPr>
      <w:r w:rsidRPr="00CA4A11">
        <w:rPr>
          <w:rFonts w:ascii="Calibri Light" w:hAnsi="Calibri Light" w:cstheme="minorHAnsi"/>
        </w:rPr>
        <w:t>It is critical to note that other states have found ways to work with students wit</w:t>
      </w:r>
      <w:r w:rsidR="004F6DF1" w:rsidRPr="00CA4A11">
        <w:rPr>
          <w:rFonts w:ascii="Calibri Light" w:hAnsi="Calibri Light" w:cstheme="minorHAnsi"/>
        </w:rPr>
        <w:t>h the most significant behavioral needs</w:t>
      </w:r>
      <w:r w:rsidRPr="00CA4A11">
        <w:rPr>
          <w:rFonts w:ascii="Calibri Light" w:hAnsi="Calibri Light" w:cstheme="minorHAnsi"/>
        </w:rPr>
        <w:t xml:space="preserve"> without the use of aversive </w:t>
      </w:r>
      <w:r w:rsidR="004F6DF1" w:rsidRPr="00CA4A11">
        <w:rPr>
          <w:rFonts w:ascii="Calibri Light" w:hAnsi="Calibri Light" w:cstheme="minorHAnsi"/>
        </w:rPr>
        <w:t xml:space="preserve">behavioral interventions, including </w:t>
      </w:r>
      <w:r w:rsidRPr="00CA4A11">
        <w:rPr>
          <w:rFonts w:ascii="Calibri Light" w:hAnsi="Calibri Light" w:cstheme="minorHAnsi"/>
        </w:rPr>
        <w:t>conditioning devices, such as the ESDs. The</w:t>
      </w:r>
      <w:r w:rsidR="00D6441C" w:rsidRPr="00CA4A11">
        <w:rPr>
          <w:rFonts w:ascii="Calibri Light" w:hAnsi="Calibri Light" w:cstheme="minorHAnsi"/>
        </w:rPr>
        <w:t xml:space="preserve">re are approximately </w:t>
      </w:r>
      <w:r w:rsidRPr="00CA4A11">
        <w:rPr>
          <w:rFonts w:ascii="Calibri Light" w:hAnsi="Calibri Light" w:cstheme="minorHAnsi"/>
        </w:rPr>
        <w:t xml:space="preserve">250 students enrolled at JRC. With few exceptions, other states have found other ways to serve students with the most significant behavior needs. For example, the Centennial School, located at Lehigh University in Pennsylvania is an approved private alternative school that serves students with the most significant emotional </w:t>
      </w:r>
      <w:r w:rsidR="00895F93" w:rsidRPr="00CA4A11">
        <w:rPr>
          <w:rFonts w:ascii="Calibri Light" w:hAnsi="Calibri Light" w:cstheme="minorHAnsi"/>
        </w:rPr>
        <w:t xml:space="preserve">and behavioral </w:t>
      </w:r>
      <w:r w:rsidRPr="00CA4A11">
        <w:rPr>
          <w:rFonts w:ascii="Calibri Light" w:hAnsi="Calibri Light" w:cstheme="minorHAnsi"/>
        </w:rPr>
        <w:t xml:space="preserve">disabilities. At a July 12, 2012 hearing in the Senate’s Health, Education, Labor and Pensions Committee titled </w:t>
      </w:r>
      <w:r w:rsidRPr="00CA4A11">
        <w:rPr>
          <w:rFonts w:ascii="Calibri Light" w:hAnsi="Calibri Light" w:cstheme="minorHAnsi"/>
          <w:i/>
        </w:rPr>
        <w:t>Beyond Seclusion and Restraint: Creating Positive Learning Environments for All Students</w:t>
      </w:r>
      <w:r w:rsidRPr="00CA4A11">
        <w:rPr>
          <w:rFonts w:ascii="Calibri Light" w:hAnsi="Calibri Light" w:cstheme="minorHAnsi"/>
        </w:rPr>
        <w:t xml:space="preserve">, Michael George, the school’s director, testified that students who enroll at Centennial have </w:t>
      </w:r>
      <w:r w:rsidR="00895F93" w:rsidRPr="00CA4A11">
        <w:rPr>
          <w:rFonts w:ascii="Calibri Light" w:hAnsi="Calibri Light" w:cstheme="minorHAnsi"/>
        </w:rPr>
        <w:t xml:space="preserve">usually </w:t>
      </w:r>
      <w:r w:rsidRPr="00CA4A11">
        <w:rPr>
          <w:rFonts w:ascii="Calibri Light" w:hAnsi="Calibri Light" w:cstheme="minorHAnsi"/>
        </w:rPr>
        <w:t>failed in other placements, and the common characteristic among the students is that their behavior is more severe than 99 percent of the population.</w:t>
      </w:r>
      <w:r w:rsidRPr="00CA4A11">
        <w:rPr>
          <w:rStyle w:val="FootnoteReference"/>
          <w:rFonts w:ascii="Calibri Light" w:hAnsi="Calibri Light" w:cstheme="minorHAnsi"/>
        </w:rPr>
        <w:footnoteReference w:id="5"/>
      </w:r>
    </w:p>
    <w:p w14:paraId="12036B75" w14:textId="77777777" w:rsidR="00EB6E20" w:rsidRPr="00CA4A11" w:rsidRDefault="00EB6E20" w:rsidP="00EB6E20">
      <w:pPr>
        <w:shd w:val="clear" w:color="auto" w:fill="FFFFFF"/>
        <w:spacing w:after="0"/>
        <w:rPr>
          <w:rFonts w:ascii="Calibri Light" w:hAnsi="Calibri Light" w:cstheme="minorHAnsi"/>
        </w:rPr>
      </w:pPr>
    </w:p>
    <w:p w14:paraId="751A4624" w14:textId="77777777" w:rsidR="00777983" w:rsidRPr="00CA4A11" w:rsidRDefault="00EB6E20" w:rsidP="00EB6E20">
      <w:pPr>
        <w:shd w:val="clear" w:color="auto" w:fill="FFFFFF"/>
        <w:spacing w:after="0"/>
        <w:rPr>
          <w:rFonts w:ascii="Calibri Light" w:hAnsi="Calibri Light" w:cstheme="minorHAnsi"/>
        </w:rPr>
      </w:pPr>
      <w:r w:rsidRPr="00CA4A11">
        <w:rPr>
          <w:rFonts w:ascii="Calibri Light" w:hAnsi="Calibri Light" w:cstheme="minorHAnsi"/>
        </w:rPr>
        <w:t xml:space="preserve">Yet, Centennial has found a way to serve these students that does not rely on restraint, </w:t>
      </w:r>
      <w:r w:rsidR="00777983" w:rsidRPr="00CA4A11">
        <w:rPr>
          <w:rFonts w:ascii="Calibri Light" w:hAnsi="Calibri Light" w:cstheme="minorHAnsi"/>
        </w:rPr>
        <w:t>seclusion or aversive behavior</w:t>
      </w:r>
      <w:r w:rsidRPr="00CA4A11">
        <w:rPr>
          <w:rFonts w:ascii="Calibri Light" w:hAnsi="Calibri Light" w:cstheme="minorHAnsi"/>
        </w:rPr>
        <w:t xml:space="preserve"> interventions. Centennial is actually an instructive story of positive systems change</w:t>
      </w:r>
      <w:r w:rsidR="00A905B8" w:rsidRPr="00CA4A11">
        <w:rPr>
          <w:rFonts w:ascii="Calibri Light" w:hAnsi="Calibri Light" w:cstheme="minorHAnsi"/>
        </w:rPr>
        <w:t xml:space="preserve">. </w:t>
      </w:r>
      <w:r w:rsidRPr="00CA4A11">
        <w:rPr>
          <w:rFonts w:ascii="Calibri Light" w:hAnsi="Calibri Light" w:cstheme="minorHAnsi"/>
        </w:rPr>
        <w:t>I</w:t>
      </w:r>
      <w:r w:rsidR="00A905B8" w:rsidRPr="00CA4A11">
        <w:rPr>
          <w:rFonts w:ascii="Calibri Light" w:hAnsi="Calibri Light" w:cstheme="minorHAnsi"/>
        </w:rPr>
        <w:t xml:space="preserve">n 1997-98, </w:t>
      </w:r>
      <w:r w:rsidRPr="00CA4A11">
        <w:rPr>
          <w:rFonts w:ascii="Calibri Light" w:hAnsi="Calibri Light" w:cstheme="minorHAnsi"/>
        </w:rPr>
        <w:t xml:space="preserve">the school had 76 students, who </w:t>
      </w:r>
      <w:r w:rsidR="00A905B8" w:rsidRPr="00CA4A11">
        <w:rPr>
          <w:rFonts w:ascii="Calibri Light" w:hAnsi="Calibri Light" w:cstheme="minorHAnsi"/>
        </w:rPr>
        <w:t xml:space="preserve">had been </w:t>
      </w:r>
      <w:r w:rsidRPr="00CA4A11">
        <w:rPr>
          <w:rFonts w:ascii="Calibri Light" w:hAnsi="Calibri Light" w:cstheme="minorHAnsi"/>
        </w:rPr>
        <w:t>restrained 1,064 times. These high numbers of the use of restraint were accompanied by high rates of police involvement, suspensions, emergency hospitalizations, vandalism, truancy and staff absences. The following school year, Centennial underwent a major school-wide systems change effort by introducing positive evidence-based practices,</w:t>
      </w:r>
      <w:r w:rsidR="00777983" w:rsidRPr="00CA4A11">
        <w:rPr>
          <w:rFonts w:ascii="Calibri Light" w:hAnsi="Calibri Light" w:cstheme="minorHAnsi"/>
        </w:rPr>
        <w:t xml:space="preserve"> including positive behavior interventions and supports,</w:t>
      </w:r>
      <w:r w:rsidRPr="00CA4A11">
        <w:rPr>
          <w:rFonts w:ascii="Calibri Light" w:hAnsi="Calibri Light" w:cstheme="minorHAnsi"/>
        </w:rPr>
        <w:t xml:space="preserve"> evaluating implementation, and making adjustments to improve outcomes.</w:t>
      </w:r>
      <w:r w:rsidR="00777983" w:rsidRPr="00CA4A11">
        <w:rPr>
          <w:rFonts w:ascii="Calibri Light" w:hAnsi="Calibri Light" w:cstheme="minorHAnsi"/>
        </w:rPr>
        <w:t xml:space="preserve"> </w:t>
      </w:r>
      <w:r w:rsidRPr="00CA4A11">
        <w:rPr>
          <w:rFonts w:ascii="Calibri Light" w:hAnsi="Calibri Light" w:cstheme="minorHAnsi"/>
        </w:rPr>
        <w:t xml:space="preserve">First and foremost, Centennial staff changed the way they viewed these students -- from students who were failures, unwilling or incapable of behaving -- to seeing the students as learners who were “works–in-progress,” future successes, and as students that can meet the expectations if they are set for them. The school moved from </w:t>
      </w:r>
      <w:r w:rsidR="00777983" w:rsidRPr="00CA4A11">
        <w:rPr>
          <w:rFonts w:ascii="Calibri Light" w:hAnsi="Calibri Light" w:cstheme="minorHAnsi"/>
        </w:rPr>
        <w:t xml:space="preserve">the </w:t>
      </w:r>
      <w:r w:rsidRPr="00CA4A11">
        <w:rPr>
          <w:rFonts w:ascii="Calibri Light" w:hAnsi="Calibri Light" w:cstheme="minorHAnsi"/>
        </w:rPr>
        <w:t xml:space="preserve">ineffective </w:t>
      </w:r>
      <w:r w:rsidR="00777983" w:rsidRPr="00CA4A11">
        <w:rPr>
          <w:rFonts w:ascii="Calibri Light" w:hAnsi="Calibri Light" w:cstheme="minorHAnsi"/>
        </w:rPr>
        <w:t>use of aversive behavior</w:t>
      </w:r>
      <w:r w:rsidR="00A905B8" w:rsidRPr="00CA4A11">
        <w:rPr>
          <w:rFonts w:ascii="Calibri Light" w:hAnsi="Calibri Light" w:cstheme="minorHAnsi"/>
        </w:rPr>
        <w:t xml:space="preserve"> interventions</w:t>
      </w:r>
      <w:r w:rsidRPr="00CA4A11">
        <w:rPr>
          <w:rFonts w:ascii="Calibri Light" w:hAnsi="Calibri Light" w:cstheme="minorHAnsi"/>
        </w:rPr>
        <w:t xml:space="preserve"> </w:t>
      </w:r>
      <w:r w:rsidR="00777983" w:rsidRPr="00CA4A11">
        <w:rPr>
          <w:rFonts w:ascii="Calibri Light" w:hAnsi="Calibri Light" w:cstheme="minorHAnsi"/>
        </w:rPr>
        <w:t>to the use of positive behavior interventions and</w:t>
      </w:r>
      <w:r w:rsidRPr="00CA4A11">
        <w:rPr>
          <w:rFonts w:ascii="Calibri Light" w:hAnsi="Calibri Light" w:cstheme="minorHAnsi"/>
        </w:rPr>
        <w:t xml:space="preserve"> supports. For example, for a student who is cursing, a typical adolescent behavior, the focus shifted from adminis</w:t>
      </w:r>
      <w:r w:rsidR="00777983" w:rsidRPr="00CA4A11">
        <w:rPr>
          <w:rFonts w:ascii="Calibri Light" w:hAnsi="Calibri Light" w:cstheme="minorHAnsi"/>
        </w:rPr>
        <w:t>tering a punishment to eliminating</w:t>
      </w:r>
      <w:r w:rsidRPr="00CA4A11">
        <w:rPr>
          <w:rFonts w:ascii="Calibri Light" w:hAnsi="Calibri Light" w:cstheme="minorHAnsi"/>
        </w:rPr>
        <w:t xml:space="preserve"> the cursing behavior </w:t>
      </w:r>
      <w:r w:rsidR="00777983" w:rsidRPr="00CA4A11">
        <w:rPr>
          <w:rFonts w:ascii="Calibri Light" w:hAnsi="Calibri Light" w:cstheme="minorHAnsi"/>
        </w:rPr>
        <w:t xml:space="preserve">by </w:t>
      </w:r>
      <w:r w:rsidRPr="00CA4A11">
        <w:rPr>
          <w:rFonts w:ascii="Calibri Light" w:hAnsi="Calibri Light" w:cstheme="minorHAnsi"/>
        </w:rPr>
        <w:t>instead acknowledging polite statements made by students. Numerous other are documented in Mr. George’s testimony. Centennial is one case study of a school that has found a way to address behaviors through positive evidenced based practices and without having to use ave</w:t>
      </w:r>
      <w:r w:rsidR="00777983" w:rsidRPr="00CA4A11">
        <w:rPr>
          <w:rFonts w:ascii="Calibri Light" w:hAnsi="Calibri Light" w:cstheme="minorHAnsi"/>
        </w:rPr>
        <w:t>rsive behavior</w:t>
      </w:r>
      <w:r w:rsidRPr="00CA4A11">
        <w:rPr>
          <w:rFonts w:ascii="Calibri Light" w:hAnsi="Calibri Light" w:cstheme="minorHAnsi"/>
        </w:rPr>
        <w:t xml:space="preserve"> interventions. </w:t>
      </w:r>
    </w:p>
    <w:p w14:paraId="52CC4665" w14:textId="7CAAC15F" w:rsidR="00777983" w:rsidRPr="00CA4A11" w:rsidRDefault="00777983" w:rsidP="00EB6E20">
      <w:pPr>
        <w:shd w:val="clear" w:color="auto" w:fill="FFFFFF"/>
        <w:spacing w:after="0"/>
        <w:rPr>
          <w:rFonts w:ascii="Calibri Light" w:hAnsi="Calibri Light" w:cstheme="minorHAnsi"/>
        </w:rPr>
      </w:pPr>
    </w:p>
    <w:p w14:paraId="181B994D" w14:textId="0780D37B" w:rsidR="00777983" w:rsidRPr="00CA4A11" w:rsidRDefault="00EB6E20" w:rsidP="00777983">
      <w:pPr>
        <w:shd w:val="clear" w:color="auto" w:fill="FFFFFF"/>
        <w:spacing w:after="0"/>
        <w:rPr>
          <w:rFonts w:ascii="Calibri Light" w:hAnsi="Calibri Light" w:cstheme="minorHAnsi"/>
        </w:rPr>
      </w:pPr>
      <w:r w:rsidRPr="00CA4A11">
        <w:rPr>
          <w:rFonts w:ascii="Calibri Light" w:hAnsi="Calibri Light" w:cstheme="minorHAnsi"/>
        </w:rPr>
        <w:t xml:space="preserve">As the FDA found in the notice, substantial evidence exists which </w:t>
      </w:r>
      <w:r w:rsidR="002638D6" w:rsidRPr="00CA4A11">
        <w:rPr>
          <w:rFonts w:ascii="Calibri Light" w:hAnsi="Calibri Light" w:cstheme="minorHAnsi"/>
        </w:rPr>
        <w:t>demonstrates</w:t>
      </w:r>
      <w:r w:rsidRPr="00CA4A11">
        <w:rPr>
          <w:rFonts w:ascii="Calibri Light" w:hAnsi="Calibri Light" w:cstheme="minorHAnsi"/>
        </w:rPr>
        <w:t xml:space="preserve"> that evidence-based positive alternatives to behavior modification, such a</w:t>
      </w:r>
      <w:r w:rsidR="00777983" w:rsidRPr="00CA4A11">
        <w:rPr>
          <w:rFonts w:ascii="Calibri Light" w:hAnsi="Calibri Light" w:cstheme="minorHAnsi"/>
        </w:rPr>
        <w:t>s the use of positive behavior</w:t>
      </w:r>
      <w:r w:rsidRPr="00CA4A11">
        <w:rPr>
          <w:rFonts w:ascii="Calibri Light" w:hAnsi="Calibri Light" w:cstheme="minorHAnsi"/>
        </w:rPr>
        <w:t xml:space="preserve"> interventions and supports are safe and more effective long-term for use with students with</w:t>
      </w:r>
      <w:r w:rsidR="00777983" w:rsidRPr="00CA4A11">
        <w:rPr>
          <w:rFonts w:ascii="Calibri Light" w:hAnsi="Calibri Light" w:cstheme="minorHAnsi"/>
        </w:rPr>
        <w:t xml:space="preserve"> the most significant behavior</w:t>
      </w:r>
      <w:r w:rsidRPr="00CA4A11">
        <w:rPr>
          <w:rFonts w:ascii="Calibri Light" w:hAnsi="Calibri Light" w:cstheme="minorHAnsi"/>
        </w:rPr>
        <w:t xml:space="preserve"> needs. We are pleased to see the substantial attention in the notice paid to the evolution from the use of aversive methods to the use of </w:t>
      </w:r>
      <w:r w:rsidR="002638D6" w:rsidRPr="00CA4A11">
        <w:rPr>
          <w:rFonts w:ascii="Calibri Light" w:hAnsi="Calibri Light" w:cstheme="minorHAnsi"/>
        </w:rPr>
        <w:t>positive alternatives</w:t>
      </w:r>
      <w:r w:rsidRPr="00CA4A11">
        <w:rPr>
          <w:rFonts w:ascii="Calibri Light" w:hAnsi="Calibri Light" w:cstheme="minorHAnsi"/>
        </w:rPr>
        <w:t>.</w:t>
      </w:r>
      <w:r w:rsidR="002638D6" w:rsidRPr="00CA4A11">
        <w:rPr>
          <w:rFonts w:ascii="Calibri Light" w:hAnsi="Calibri Light" w:cstheme="minorHAnsi"/>
        </w:rPr>
        <w:t xml:space="preserve"> </w:t>
      </w:r>
      <w:r w:rsidRPr="00CA4A11">
        <w:rPr>
          <w:rFonts w:ascii="Calibri Light" w:hAnsi="Calibri Light" w:cstheme="minorHAnsi"/>
        </w:rPr>
        <w:t>The notice provides detailed information about the current state of the science and the overwhelming evidence that exists regarding the effectiveness of positive approaches. The notice also points out the reason why aversive conditioning</w:t>
      </w:r>
      <w:r w:rsidR="002638D6" w:rsidRPr="00CA4A11">
        <w:rPr>
          <w:rFonts w:ascii="Calibri Light" w:hAnsi="Calibri Light" w:cstheme="minorHAnsi"/>
        </w:rPr>
        <w:t xml:space="preserve"> devices, such as ESDs, </w:t>
      </w:r>
      <w:r w:rsidRPr="00CA4A11">
        <w:rPr>
          <w:rFonts w:ascii="Calibri Light" w:hAnsi="Calibri Light" w:cstheme="minorHAnsi"/>
        </w:rPr>
        <w:t xml:space="preserve">has been found not only </w:t>
      </w:r>
      <w:r w:rsidR="002638D6" w:rsidRPr="00CA4A11">
        <w:rPr>
          <w:rFonts w:ascii="Calibri Light" w:hAnsi="Calibri Light" w:cstheme="minorHAnsi"/>
        </w:rPr>
        <w:t xml:space="preserve">to be </w:t>
      </w:r>
      <w:r w:rsidRPr="00CA4A11">
        <w:rPr>
          <w:rFonts w:ascii="Calibri Light" w:hAnsi="Calibri Light" w:cstheme="minorHAnsi"/>
        </w:rPr>
        <w:t>dang</w:t>
      </w:r>
      <w:r w:rsidR="00777983" w:rsidRPr="00CA4A11">
        <w:rPr>
          <w:rFonts w:ascii="Calibri Light" w:hAnsi="Calibri Light" w:cstheme="minorHAnsi"/>
        </w:rPr>
        <w:t>erous</w:t>
      </w:r>
      <w:r w:rsidR="002638D6" w:rsidRPr="00CA4A11">
        <w:rPr>
          <w:rFonts w:ascii="Calibri Light" w:hAnsi="Calibri Light" w:cstheme="minorHAnsi"/>
        </w:rPr>
        <w:t>,</w:t>
      </w:r>
      <w:r w:rsidR="00777983" w:rsidRPr="00CA4A11">
        <w:rPr>
          <w:rFonts w:ascii="Calibri Light" w:hAnsi="Calibri Light" w:cstheme="minorHAnsi"/>
        </w:rPr>
        <w:t xml:space="preserve"> but ineffective. The use of ESDs is inhumane, unnecessary, and deprives these children and adults of their </w:t>
      </w:r>
      <w:r w:rsidR="002638D6" w:rsidRPr="00CA4A11">
        <w:rPr>
          <w:rFonts w:ascii="Calibri Light" w:hAnsi="Calibri Light" w:cstheme="minorHAnsi"/>
        </w:rPr>
        <w:t xml:space="preserve">civil </w:t>
      </w:r>
      <w:r w:rsidR="00777983" w:rsidRPr="00CA4A11">
        <w:rPr>
          <w:rFonts w:ascii="Calibri Light" w:hAnsi="Calibri Light" w:cstheme="minorHAnsi"/>
        </w:rPr>
        <w:t xml:space="preserve">rights. </w:t>
      </w:r>
    </w:p>
    <w:p w14:paraId="572F0F91" w14:textId="79CD908C" w:rsidR="00EB6E20" w:rsidRPr="00CA4A11" w:rsidRDefault="00EB6E20" w:rsidP="00EB6E20">
      <w:pPr>
        <w:shd w:val="clear" w:color="auto" w:fill="FFFFFF"/>
        <w:spacing w:after="0"/>
        <w:rPr>
          <w:rFonts w:ascii="Calibri Light" w:hAnsi="Calibri Light" w:cstheme="minorHAnsi"/>
        </w:rPr>
      </w:pPr>
    </w:p>
    <w:p w14:paraId="05786518" w14:textId="0B5746D1" w:rsidR="00EB6E20" w:rsidRPr="00CA4A11" w:rsidRDefault="00EB6E20" w:rsidP="00EB6E20">
      <w:pPr>
        <w:pStyle w:val="Default"/>
        <w:rPr>
          <w:rFonts w:ascii="Calibri Light" w:hAnsi="Calibri Light" w:cstheme="minorHAnsi"/>
          <w:color w:val="auto"/>
          <w:sz w:val="22"/>
          <w:szCs w:val="22"/>
        </w:rPr>
      </w:pPr>
      <w:r w:rsidRPr="00CA4A11">
        <w:rPr>
          <w:rFonts w:ascii="Calibri Light" w:hAnsi="Calibri Light" w:cstheme="minorHAnsi"/>
          <w:color w:val="auto"/>
          <w:sz w:val="22"/>
          <w:szCs w:val="22"/>
        </w:rPr>
        <w:t xml:space="preserve">Furthermore, given the history of the use of ESDs, </w:t>
      </w:r>
      <w:r w:rsidR="002638D6" w:rsidRPr="00CA4A11">
        <w:rPr>
          <w:rFonts w:ascii="Calibri Light" w:hAnsi="Calibri Light" w:cstheme="minorHAnsi"/>
          <w:color w:val="auto"/>
          <w:sz w:val="22"/>
          <w:szCs w:val="22"/>
        </w:rPr>
        <w:t xml:space="preserve">and </w:t>
      </w:r>
      <w:r w:rsidRPr="00CA4A11">
        <w:rPr>
          <w:rFonts w:ascii="Calibri Light" w:hAnsi="Calibri Light" w:cstheme="minorHAnsi"/>
          <w:color w:val="auto"/>
          <w:sz w:val="22"/>
          <w:szCs w:val="22"/>
        </w:rPr>
        <w:t>that only one entity</w:t>
      </w:r>
      <w:r w:rsidR="004268F7" w:rsidRPr="00CA4A11">
        <w:rPr>
          <w:rFonts w:ascii="Calibri Light" w:hAnsi="Calibri Light" w:cstheme="minorHAnsi"/>
          <w:color w:val="auto"/>
          <w:sz w:val="22"/>
          <w:szCs w:val="22"/>
        </w:rPr>
        <w:t xml:space="preserve"> that</w:t>
      </w:r>
      <w:r w:rsidRPr="00CA4A11">
        <w:rPr>
          <w:rFonts w:ascii="Calibri Light" w:hAnsi="Calibri Light" w:cstheme="minorHAnsi"/>
          <w:color w:val="auto"/>
          <w:sz w:val="22"/>
          <w:szCs w:val="22"/>
        </w:rPr>
        <w:t xml:space="preserve"> is known to use </w:t>
      </w:r>
      <w:r w:rsidR="004268F7" w:rsidRPr="00CA4A11">
        <w:rPr>
          <w:rFonts w:ascii="Calibri Light" w:hAnsi="Calibri Light" w:cstheme="minorHAnsi"/>
          <w:color w:val="auto"/>
          <w:sz w:val="22"/>
          <w:szCs w:val="22"/>
        </w:rPr>
        <w:t>ESDs</w:t>
      </w:r>
      <w:r w:rsidRPr="00CA4A11">
        <w:rPr>
          <w:rFonts w:ascii="Calibri Light" w:hAnsi="Calibri Light" w:cstheme="minorHAnsi"/>
          <w:color w:val="auto"/>
          <w:sz w:val="22"/>
          <w:szCs w:val="22"/>
        </w:rPr>
        <w:t xml:space="preserve"> in the United States</w:t>
      </w:r>
      <w:r w:rsidR="004268F7" w:rsidRPr="00CA4A11">
        <w:rPr>
          <w:rFonts w:ascii="Calibri Light" w:hAnsi="Calibri Light" w:cstheme="minorHAnsi"/>
          <w:color w:val="auto"/>
          <w:sz w:val="22"/>
          <w:szCs w:val="22"/>
        </w:rPr>
        <w:t xml:space="preserve"> </w:t>
      </w:r>
      <w:r w:rsidRPr="00CA4A11">
        <w:rPr>
          <w:rFonts w:ascii="Calibri Light" w:hAnsi="Calibri Light" w:cstheme="minorHAnsi"/>
          <w:color w:val="auto"/>
          <w:sz w:val="22"/>
          <w:szCs w:val="22"/>
        </w:rPr>
        <w:t xml:space="preserve">is </w:t>
      </w:r>
      <w:r w:rsidR="004268F7" w:rsidRPr="00CA4A11">
        <w:rPr>
          <w:rFonts w:ascii="Calibri Light" w:hAnsi="Calibri Light" w:cstheme="minorHAnsi"/>
          <w:color w:val="auto"/>
          <w:sz w:val="22"/>
          <w:szCs w:val="22"/>
        </w:rPr>
        <w:t xml:space="preserve">also </w:t>
      </w:r>
      <w:r w:rsidRPr="00CA4A11">
        <w:rPr>
          <w:rFonts w:ascii="Calibri Light" w:hAnsi="Calibri Light" w:cstheme="minorHAnsi"/>
          <w:color w:val="auto"/>
          <w:sz w:val="22"/>
          <w:szCs w:val="22"/>
        </w:rPr>
        <w:t>the sole manufacturer of the</w:t>
      </w:r>
      <w:r w:rsidR="004268F7" w:rsidRPr="00CA4A11">
        <w:rPr>
          <w:rFonts w:ascii="Calibri Light" w:hAnsi="Calibri Light" w:cstheme="minorHAnsi"/>
          <w:color w:val="auto"/>
          <w:sz w:val="22"/>
          <w:szCs w:val="22"/>
        </w:rPr>
        <w:t>m</w:t>
      </w:r>
      <w:r w:rsidRPr="00CA4A11">
        <w:rPr>
          <w:rFonts w:ascii="Calibri Light" w:hAnsi="Calibri Light" w:cstheme="minorHAnsi"/>
          <w:color w:val="auto"/>
          <w:sz w:val="22"/>
          <w:szCs w:val="22"/>
        </w:rPr>
        <w:t xml:space="preserve">, and </w:t>
      </w:r>
      <w:r w:rsidR="004268F7" w:rsidRPr="00CA4A11">
        <w:rPr>
          <w:rFonts w:ascii="Calibri Light" w:hAnsi="Calibri Light" w:cstheme="minorHAnsi"/>
          <w:color w:val="auto"/>
          <w:sz w:val="22"/>
          <w:szCs w:val="22"/>
        </w:rPr>
        <w:t xml:space="preserve">that </w:t>
      </w:r>
      <w:r w:rsidRPr="00CA4A11">
        <w:rPr>
          <w:rFonts w:ascii="Calibri Light" w:hAnsi="Calibri Light" w:cstheme="minorHAnsi"/>
          <w:color w:val="auto"/>
          <w:sz w:val="22"/>
          <w:szCs w:val="22"/>
        </w:rPr>
        <w:t>the current device is being used despite being not FDA approved, NACDD,</w:t>
      </w:r>
      <w:r w:rsidR="004268F7" w:rsidRPr="00CA4A11">
        <w:rPr>
          <w:rFonts w:ascii="Calibri Light" w:hAnsi="Calibri Light" w:cstheme="minorHAnsi"/>
          <w:color w:val="auto"/>
          <w:sz w:val="22"/>
          <w:szCs w:val="22"/>
        </w:rPr>
        <w:t xml:space="preserve"> AUCD and</w:t>
      </w:r>
      <w:r w:rsidRPr="00CA4A11">
        <w:rPr>
          <w:rFonts w:ascii="Calibri Light" w:hAnsi="Calibri Light" w:cstheme="minorHAnsi"/>
          <w:color w:val="auto"/>
          <w:sz w:val="22"/>
          <w:szCs w:val="22"/>
        </w:rPr>
        <w:t xml:space="preserve"> NDRN request that the ban </w:t>
      </w:r>
      <w:r w:rsidR="004268F7" w:rsidRPr="00CA4A11">
        <w:rPr>
          <w:rFonts w:ascii="Calibri Light" w:hAnsi="Calibri Light" w:cstheme="minorHAnsi"/>
          <w:color w:val="auto"/>
          <w:sz w:val="22"/>
          <w:szCs w:val="22"/>
        </w:rPr>
        <w:t>applies</w:t>
      </w:r>
      <w:r w:rsidRPr="00CA4A11">
        <w:rPr>
          <w:rFonts w:ascii="Calibri Light" w:hAnsi="Calibri Light" w:cstheme="minorHAnsi"/>
          <w:color w:val="auto"/>
          <w:sz w:val="22"/>
          <w:szCs w:val="22"/>
        </w:rPr>
        <w:t xml:space="preserve"> to all current devices,</w:t>
      </w:r>
      <w:r w:rsidR="004268F7" w:rsidRPr="00CA4A11">
        <w:rPr>
          <w:rFonts w:ascii="Calibri Light" w:hAnsi="Calibri Light" w:cstheme="minorHAnsi"/>
          <w:color w:val="auto"/>
          <w:sz w:val="22"/>
          <w:szCs w:val="22"/>
        </w:rPr>
        <w:t xml:space="preserve"> and</w:t>
      </w:r>
      <w:r w:rsidR="00C165BA" w:rsidRPr="00CA4A11">
        <w:rPr>
          <w:rFonts w:ascii="Calibri Light" w:hAnsi="Calibri Light" w:cstheme="minorHAnsi"/>
          <w:color w:val="auto"/>
          <w:sz w:val="22"/>
          <w:szCs w:val="22"/>
        </w:rPr>
        <w:t xml:space="preserve"> any new devices that ma</w:t>
      </w:r>
      <w:r w:rsidRPr="00CA4A11">
        <w:rPr>
          <w:rFonts w:ascii="Calibri Light" w:hAnsi="Calibri Light" w:cstheme="minorHAnsi"/>
          <w:color w:val="auto"/>
          <w:sz w:val="22"/>
          <w:szCs w:val="22"/>
        </w:rPr>
        <w:t>y be developed that are substantially</w:t>
      </w:r>
      <w:r w:rsidR="004268F7" w:rsidRPr="00CA4A11">
        <w:rPr>
          <w:rFonts w:ascii="Calibri Light" w:hAnsi="Calibri Light" w:cstheme="minorHAnsi"/>
          <w:color w:val="auto"/>
          <w:sz w:val="22"/>
          <w:szCs w:val="22"/>
        </w:rPr>
        <w:t xml:space="preserve"> similar to the current ESDs.</w:t>
      </w:r>
      <w:r w:rsidRPr="00CA4A11">
        <w:rPr>
          <w:rFonts w:ascii="Calibri Light" w:hAnsi="Calibri Light" w:cstheme="minorHAnsi"/>
          <w:color w:val="auto"/>
          <w:sz w:val="22"/>
          <w:szCs w:val="22"/>
        </w:rPr>
        <w:t xml:space="preserve"> </w:t>
      </w:r>
      <w:r w:rsidR="004268F7" w:rsidRPr="00CA4A11">
        <w:rPr>
          <w:rFonts w:ascii="Calibri Light" w:hAnsi="Calibri Light" w:cstheme="minorHAnsi"/>
          <w:color w:val="auto"/>
          <w:sz w:val="22"/>
          <w:szCs w:val="22"/>
        </w:rPr>
        <w:t>Furthermore,</w:t>
      </w:r>
      <w:r w:rsidRPr="00CA4A11">
        <w:rPr>
          <w:rFonts w:ascii="Calibri Light" w:hAnsi="Calibri Light" w:cstheme="minorHAnsi"/>
          <w:color w:val="auto"/>
          <w:sz w:val="22"/>
          <w:szCs w:val="22"/>
        </w:rPr>
        <w:t xml:space="preserve"> the U.S. Department of Justice (DOJ) </w:t>
      </w:r>
      <w:r w:rsidR="00C165BA" w:rsidRPr="00CA4A11">
        <w:rPr>
          <w:rFonts w:ascii="Calibri Light" w:hAnsi="Calibri Light" w:cstheme="minorHAnsi"/>
          <w:color w:val="auto"/>
          <w:sz w:val="22"/>
          <w:szCs w:val="22"/>
        </w:rPr>
        <w:t xml:space="preserve">should </w:t>
      </w:r>
      <w:r w:rsidRPr="00CA4A11">
        <w:rPr>
          <w:rFonts w:ascii="Calibri Light" w:hAnsi="Calibri Light" w:cstheme="minorHAnsi"/>
          <w:color w:val="auto"/>
          <w:sz w:val="22"/>
          <w:szCs w:val="22"/>
        </w:rPr>
        <w:t xml:space="preserve">closely monitor JRC to ensure that the device is no longer being manufactured or used on children and adults at JRC or </w:t>
      </w:r>
      <w:r w:rsidR="00C165BA" w:rsidRPr="00CA4A11">
        <w:rPr>
          <w:rFonts w:ascii="Calibri Light" w:hAnsi="Calibri Light" w:cstheme="minorHAnsi"/>
          <w:color w:val="auto"/>
          <w:sz w:val="22"/>
          <w:szCs w:val="22"/>
        </w:rPr>
        <w:t xml:space="preserve">at any other facilities. Lastly, </w:t>
      </w:r>
      <w:r w:rsidRPr="00CA4A11">
        <w:rPr>
          <w:rFonts w:ascii="Calibri Light" w:hAnsi="Calibri Light" w:cstheme="minorHAnsi"/>
          <w:color w:val="auto"/>
          <w:sz w:val="22"/>
          <w:szCs w:val="22"/>
        </w:rPr>
        <w:t xml:space="preserve">DOJ should monitor to ensure that </w:t>
      </w:r>
      <w:r w:rsidR="0039390B" w:rsidRPr="00CA4A11">
        <w:rPr>
          <w:rFonts w:ascii="Calibri Light" w:hAnsi="Calibri Light" w:cstheme="minorHAnsi"/>
          <w:color w:val="auto"/>
          <w:sz w:val="22"/>
          <w:szCs w:val="22"/>
        </w:rPr>
        <w:t xml:space="preserve">other aversive behavior </w:t>
      </w:r>
      <w:r w:rsidRPr="00CA4A11">
        <w:rPr>
          <w:rFonts w:ascii="Calibri Light" w:hAnsi="Calibri Light" w:cstheme="minorHAnsi"/>
          <w:color w:val="auto"/>
          <w:sz w:val="22"/>
          <w:szCs w:val="22"/>
        </w:rPr>
        <w:t>interventions do not become a substitute for</w:t>
      </w:r>
      <w:r w:rsidR="0039390B" w:rsidRPr="00CA4A11">
        <w:rPr>
          <w:rFonts w:ascii="Calibri Light" w:hAnsi="Calibri Light" w:cstheme="minorHAnsi"/>
          <w:color w:val="auto"/>
          <w:sz w:val="22"/>
          <w:szCs w:val="22"/>
        </w:rPr>
        <w:t xml:space="preserve"> the use of </w:t>
      </w:r>
      <w:r w:rsidRPr="00CA4A11">
        <w:rPr>
          <w:rFonts w:ascii="Calibri Light" w:hAnsi="Calibri Light" w:cstheme="minorHAnsi"/>
          <w:color w:val="auto"/>
          <w:sz w:val="22"/>
          <w:szCs w:val="22"/>
        </w:rPr>
        <w:t>ESD</w:t>
      </w:r>
      <w:r w:rsidR="0039390B" w:rsidRPr="00CA4A11">
        <w:rPr>
          <w:rFonts w:ascii="Calibri Light" w:hAnsi="Calibri Light" w:cstheme="minorHAnsi"/>
          <w:color w:val="auto"/>
          <w:sz w:val="22"/>
          <w:szCs w:val="22"/>
        </w:rPr>
        <w:t>s</w:t>
      </w:r>
      <w:r w:rsidRPr="00CA4A11">
        <w:rPr>
          <w:rFonts w:ascii="Calibri Light" w:hAnsi="Calibri Light" w:cstheme="minorHAnsi"/>
          <w:color w:val="auto"/>
          <w:sz w:val="22"/>
          <w:szCs w:val="22"/>
        </w:rPr>
        <w:t xml:space="preserve">. The video of Andre </w:t>
      </w:r>
      <w:proofErr w:type="spellStart"/>
      <w:r w:rsidRPr="00CA4A11">
        <w:rPr>
          <w:rFonts w:ascii="Calibri Light" w:hAnsi="Calibri Light" w:cstheme="minorHAnsi"/>
          <w:color w:val="auto"/>
          <w:sz w:val="22"/>
          <w:szCs w:val="22"/>
        </w:rPr>
        <w:t>McCollins</w:t>
      </w:r>
      <w:proofErr w:type="spellEnd"/>
      <w:r w:rsidRPr="00CA4A11">
        <w:rPr>
          <w:rFonts w:ascii="Calibri Light" w:hAnsi="Calibri Light" w:cstheme="minorHAnsi"/>
          <w:color w:val="auto"/>
          <w:sz w:val="22"/>
          <w:szCs w:val="22"/>
        </w:rPr>
        <w:t>, a JRC resident from New York who was shocked</w:t>
      </w:r>
      <w:r w:rsidR="0039390B" w:rsidRPr="00CA4A11">
        <w:rPr>
          <w:rFonts w:ascii="Calibri Light" w:hAnsi="Calibri Light" w:cstheme="minorHAnsi"/>
          <w:color w:val="auto"/>
          <w:sz w:val="22"/>
          <w:szCs w:val="22"/>
        </w:rPr>
        <w:t xml:space="preserve"> 31 times, using the weaker GED</w:t>
      </w:r>
      <w:r w:rsidRPr="00CA4A11">
        <w:rPr>
          <w:rFonts w:ascii="Calibri Light" w:hAnsi="Calibri Light" w:cstheme="minorHAnsi"/>
          <w:color w:val="auto"/>
          <w:sz w:val="22"/>
          <w:szCs w:val="22"/>
        </w:rPr>
        <w:t xml:space="preserve"> for failure to take off his coat is one example of the very significant and serious concern that other aversive </w:t>
      </w:r>
      <w:r w:rsidR="0039390B" w:rsidRPr="00CA4A11">
        <w:rPr>
          <w:rFonts w:ascii="Calibri Light" w:hAnsi="Calibri Light" w:cstheme="minorHAnsi"/>
          <w:color w:val="auto"/>
          <w:sz w:val="22"/>
          <w:szCs w:val="22"/>
        </w:rPr>
        <w:t xml:space="preserve">behavior </w:t>
      </w:r>
      <w:r w:rsidRPr="00CA4A11">
        <w:rPr>
          <w:rFonts w:ascii="Calibri Light" w:hAnsi="Calibri Light" w:cstheme="minorHAnsi"/>
          <w:color w:val="auto"/>
          <w:sz w:val="22"/>
          <w:szCs w:val="22"/>
        </w:rPr>
        <w:t>interventions will be used once the E</w:t>
      </w:r>
      <w:r w:rsidR="0039390B" w:rsidRPr="00CA4A11">
        <w:rPr>
          <w:rFonts w:ascii="Calibri Light" w:hAnsi="Calibri Light" w:cstheme="minorHAnsi"/>
          <w:color w:val="auto"/>
          <w:sz w:val="22"/>
          <w:szCs w:val="22"/>
        </w:rPr>
        <w:t xml:space="preserve">SD is ban is </w:t>
      </w:r>
      <w:r w:rsidR="0039390B" w:rsidRPr="00CA4A11">
        <w:rPr>
          <w:rFonts w:ascii="Calibri Light" w:hAnsi="Calibri Light" w:cstheme="minorHAnsi"/>
          <w:color w:val="auto"/>
          <w:sz w:val="22"/>
          <w:szCs w:val="22"/>
        </w:rPr>
        <w:lastRenderedPageBreak/>
        <w:t>effective</w:t>
      </w:r>
      <w:r w:rsidRPr="00CA4A11">
        <w:rPr>
          <w:rFonts w:ascii="Calibri Light" w:hAnsi="Calibri Light" w:cstheme="minorHAnsi"/>
          <w:color w:val="auto"/>
          <w:sz w:val="22"/>
          <w:szCs w:val="22"/>
        </w:rPr>
        <w:t>.</w:t>
      </w:r>
      <w:r w:rsidR="0039390B" w:rsidRPr="00CA4A11">
        <w:rPr>
          <w:rFonts w:ascii="Calibri Light" w:hAnsi="Calibri Light" w:cstheme="minorHAnsi"/>
          <w:color w:val="auto"/>
          <w:sz w:val="22"/>
          <w:szCs w:val="22"/>
        </w:rPr>
        <w:t xml:space="preserve"> </w:t>
      </w:r>
      <w:r w:rsidRPr="00CA4A11">
        <w:rPr>
          <w:rFonts w:ascii="Calibri Light" w:hAnsi="Calibri Light" w:cstheme="minorHAnsi"/>
          <w:color w:val="auto"/>
          <w:sz w:val="22"/>
          <w:szCs w:val="22"/>
        </w:rPr>
        <w:t xml:space="preserve">Not taking off your coat is common adolescent behavior that does not rise to the level of needing this response. The video is available at </w:t>
      </w:r>
      <w:hyperlink r:id="rId9" w:history="1">
        <w:r w:rsidRPr="00CA4A11">
          <w:rPr>
            <w:rStyle w:val="Hyperlink"/>
            <w:rFonts w:ascii="Calibri Light" w:hAnsi="Calibri Light" w:cstheme="minorHAnsi"/>
            <w:color w:val="auto"/>
            <w:sz w:val="22"/>
            <w:szCs w:val="22"/>
          </w:rPr>
          <w:t>https://www.youtube.com/watch?v=ssc8mUqUEqE</w:t>
        </w:r>
      </w:hyperlink>
      <w:r w:rsidRPr="00CA4A11">
        <w:rPr>
          <w:rFonts w:ascii="Calibri Light" w:hAnsi="Calibri Light" w:cstheme="minorHAnsi"/>
          <w:color w:val="auto"/>
          <w:sz w:val="22"/>
          <w:szCs w:val="22"/>
        </w:rPr>
        <w:t>.</w:t>
      </w:r>
    </w:p>
    <w:p w14:paraId="76CB0FDA" w14:textId="77777777" w:rsidR="00EB6E20" w:rsidRPr="00CA4A11" w:rsidRDefault="00EB6E20" w:rsidP="00EB6E20">
      <w:pPr>
        <w:pStyle w:val="Default"/>
        <w:rPr>
          <w:rFonts w:ascii="Calibri Light" w:hAnsi="Calibri Light" w:cstheme="minorHAnsi"/>
          <w:color w:val="auto"/>
          <w:sz w:val="22"/>
          <w:szCs w:val="22"/>
        </w:rPr>
      </w:pPr>
    </w:p>
    <w:p w14:paraId="672C064A" w14:textId="6FBC9DA1" w:rsidR="00EB6E20" w:rsidRPr="00CA4A11" w:rsidRDefault="00EB6E20" w:rsidP="00EB6E20">
      <w:pPr>
        <w:pStyle w:val="Default"/>
        <w:rPr>
          <w:rFonts w:ascii="Calibri Light" w:hAnsi="Calibri Light" w:cstheme="minorHAnsi"/>
          <w:color w:val="auto"/>
          <w:sz w:val="22"/>
          <w:szCs w:val="22"/>
        </w:rPr>
      </w:pPr>
      <w:r w:rsidRPr="00CA4A11">
        <w:rPr>
          <w:rFonts w:ascii="Calibri Light" w:hAnsi="Calibri Light" w:cstheme="minorHAnsi"/>
          <w:color w:val="auto"/>
          <w:sz w:val="22"/>
          <w:szCs w:val="22"/>
        </w:rPr>
        <w:t xml:space="preserve">Lastly, the DOJ and other applicable state entities must ensure that </w:t>
      </w:r>
      <w:r w:rsidR="0039390B" w:rsidRPr="00CA4A11">
        <w:rPr>
          <w:rFonts w:ascii="Calibri Light" w:hAnsi="Calibri Light" w:cstheme="minorHAnsi"/>
          <w:color w:val="auto"/>
          <w:sz w:val="22"/>
          <w:szCs w:val="22"/>
        </w:rPr>
        <w:t xml:space="preserve">the </w:t>
      </w:r>
      <w:r w:rsidRPr="00CA4A11">
        <w:rPr>
          <w:rFonts w:ascii="Calibri Light" w:hAnsi="Calibri Light" w:cstheme="minorHAnsi"/>
          <w:color w:val="auto"/>
          <w:sz w:val="22"/>
          <w:szCs w:val="22"/>
        </w:rPr>
        <w:t xml:space="preserve">children and adults </w:t>
      </w:r>
      <w:r w:rsidR="0039390B" w:rsidRPr="00CA4A11">
        <w:rPr>
          <w:rFonts w:ascii="Calibri Light" w:hAnsi="Calibri Light" w:cstheme="minorHAnsi"/>
          <w:color w:val="auto"/>
          <w:sz w:val="22"/>
          <w:szCs w:val="22"/>
        </w:rPr>
        <w:t>subjected to use of ESDs</w:t>
      </w:r>
      <w:r w:rsidRPr="00CA4A11">
        <w:rPr>
          <w:rFonts w:ascii="Calibri Light" w:hAnsi="Calibri Light" w:cstheme="minorHAnsi"/>
          <w:color w:val="auto"/>
          <w:sz w:val="22"/>
          <w:szCs w:val="22"/>
        </w:rPr>
        <w:t xml:space="preserve"> receive trauma informed care, counseling and are transitioned to the use of </w:t>
      </w:r>
      <w:r w:rsidR="0039390B" w:rsidRPr="00CA4A11">
        <w:rPr>
          <w:rFonts w:ascii="Calibri Light" w:hAnsi="Calibri Light" w:cstheme="minorHAnsi"/>
          <w:color w:val="auto"/>
          <w:sz w:val="22"/>
          <w:szCs w:val="22"/>
        </w:rPr>
        <w:t xml:space="preserve">positive approaches to behavior modification including </w:t>
      </w:r>
      <w:r w:rsidRPr="00CA4A11">
        <w:rPr>
          <w:rFonts w:ascii="Calibri Light" w:hAnsi="Calibri Light" w:cstheme="minorHAnsi"/>
          <w:color w:val="auto"/>
          <w:sz w:val="22"/>
          <w:szCs w:val="22"/>
        </w:rPr>
        <w:t xml:space="preserve">positive behavior interventions and supports based on individual functional behavioral assessments. </w:t>
      </w:r>
    </w:p>
    <w:p w14:paraId="1EFA2278" w14:textId="77777777" w:rsidR="00EB6E20" w:rsidRPr="00CA4A11" w:rsidRDefault="00EB6E20" w:rsidP="00EB6E20">
      <w:pPr>
        <w:pStyle w:val="Default"/>
        <w:rPr>
          <w:rFonts w:ascii="Calibri Light" w:hAnsi="Calibri Light" w:cstheme="minorHAnsi"/>
          <w:color w:val="auto"/>
          <w:sz w:val="22"/>
          <w:szCs w:val="22"/>
        </w:rPr>
      </w:pPr>
    </w:p>
    <w:p w14:paraId="7D092A69" w14:textId="6ABBDCA8" w:rsidR="00EB6E20" w:rsidRPr="00CA4A11" w:rsidRDefault="0039390B" w:rsidP="00EB6E20">
      <w:pPr>
        <w:autoSpaceDE w:val="0"/>
        <w:autoSpaceDN w:val="0"/>
        <w:adjustRightInd w:val="0"/>
        <w:spacing w:after="0"/>
        <w:rPr>
          <w:rFonts w:ascii="Calibri Light" w:hAnsi="Calibri Light" w:cstheme="minorHAnsi"/>
          <w:spacing w:val="-9"/>
        </w:rPr>
      </w:pPr>
      <w:r w:rsidRPr="00CA4A11">
        <w:rPr>
          <w:rFonts w:ascii="Calibri Light" w:hAnsi="Calibri Light" w:cstheme="minorHAnsi"/>
        </w:rPr>
        <w:t xml:space="preserve">Students deserve better. </w:t>
      </w:r>
      <w:r w:rsidR="00EB6E20" w:rsidRPr="00CA4A11">
        <w:rPr>
          <w:rFonts w:ascii="Calibri Light" w:hAnsi="Calibri Light" w:cstheme="minorHAnsi"/>
          <w:spacing w:val="-9"/>
        </w:rPr>
        <w:t>There is a significant risk to health and safety th</w:t>
      </w:r>
      <w:r w:rsidRPr="00CA4A11">
        <w:rPr>
          <w:rFonts w:ascii="Calibri Light" w:hAnsi="Calibri Light" w:cstheme="minorHAnsi"/>
          <w:spacing w:val="-9"/>
        </w:rPr>
        <w:t>rough use of aversive behavior</w:t>
      </w:r>
      <w:r w:rsidR="00EB6E20" w:rsidRPr="00CA4A11">
        <w:rPr>
          <w:rFonts w:ascii="Calibri Light" w:hAnsi="Calibri Light" w:cstheme="minorHAnsi"/>
          <w:spacing w:val="-9"/>
        </w:rPr>
        <w:t xml:space="preserve"> interventions such as </w:t>
      </w:r>
      <w:r w:rsidR="00EB6E20" w:rsidRPr="00CA4A11">
        <w:rPr>
          <w:rFonts w:ascii="Calibri Light" w:hAnsi="Calibri Light" w:cstheme="minorHAnsi"/>
          <w:shd w:val="clear" w:color="auto" w:fill="FFFFFF"/>
        </w:rPr>
        <w:t>ESDs</w:t>
      </w:r>
      <w:r w:rsidRPr="00CA4A11">
        <w:rPr>
          <w:rFonts w:ascii="Calibri Light" w:hAnsi="Calibri Light" w:cstheme="minorHAnsi"/>
          <w:shd w:val="clear" w:color="auto" w:fill="FFFFFF"/>
        </w:rPr>
        <w:t xml:space="preserve">. </w:t>
      </w:r>
      <w:r w:rsidR="00EB6E20" w:rsidRPr="00CA4A11">
        <w:rPr>
          <w:rFonts w:ascii="Calibri Light" w:hAnsi="Calibri Light" w:cstheme="minorHAnsi"/>
          <w:spacing w:val="-9"/>
        </w:rPr>
        <w:t>In addition, the professional academic literature and practice among professionals in the field and government and non-governmental organizations supports this conclusion. There are more humane and effective alternatives</w:t>
      </w:r>
      <w:r w:rsidRPr="00CA4A11">
        <w:rPr>
          <w:rFonts w:ascii="Calibri Light" w:hAnsi="Calibri Light" w:cstheme="minorHAnsi"/>
          <w:spacing w:val="-9"/>
        </w:rPr>
        <w:t xml:space="preserve">. </w:t>
      </w:r>
      <w:r w:rsidR="00EB6E20" w:rsidRPr="00CA4A11">
        <w:rPr>
          <w:rFonts w:ascii="Calibri Light" w:hAnsi="Calibri Light" w:cstheme="minorHAnsi"/>
          <w:spacing w:val="-9"/>
        </w:rPr>
        <w:t xml:space="preserve">NACDD, AUCD and NDRN fully supports the proposed FDA ban on these devices. </w:t>
      </w:r>
    </w:p>
    <w:p w14:paraId="5A39695D" w14:textId="77777777" w:rsidR="00EE10F9" w:rsidRPr="00CA4A11" w:rsidRDefault="00EE10F9" w:rsidP="00EE10F9">
      <w:pPr>
        <w:spacing w:after="0"/>
        <w:rPr>
          <w:rFonts w:ascii="Calibri Light" w:hAnsi="Calibri Light" w:cstheme="minorHAnsi"/>
        </w:rPr>
      </w:pPr>
    </w:p>
    <w:p w14:paraId="678C0DF1" w14:textId="77777777" w:rsidR="00EE10F9" w:rsidRPr="00CA4A11" w:rsidRDefault="00EE10F9" w:rsidP="00EE10F9">
      <w:pPr>
        <w:spacing w:after="0"/>
        <w:ind w:left="360"/>
        <w:rPr>
          <w:rFonts w:ascii="Calibri Light" w:hAnsi="Calibri Light" w:cstheme="minorHAnsi"/>
        </w:rPr>
      </w:pPr>
    </w:p>
    <w:p w14:paraId="02FFCBBE" w14:textId="77777777" w:rsidR="00EE10F9" w:rsidRDefault="00EE10F9" w:rsidP="00EE10F9">
      <w:pPr>
        <w:spacing w:after="0"/>
        <w:ind w:left="360"/>
        <w:rPr>
          <w:rFonts w:ascii="Segoe UI" w:hAnsi="Segoe UI" w:cs="Segoe UI"/>
        </w:rPr>
      </w:pPr>
    </w:p>
    <w:p w14:paraId="2A37EECC" w14:textId="77777777" w:rsidR="00EE10F9" w:rsidRDefault="00EE10F9" w:rsidP="00EE10F9">
      <w:pPr>
        <w:spacing w:after="0"/>
        <w:ind w:left="360"/>
        <w:rPr>
          <w:rFonts w:ascii="Segoe UI" w:hAnsi="Segoe UI" w:cs="Segoe UI"/>
        </w:rPr>
      </w:pPr>
    </w:p>
    <w:p w14:paraId="3ED0D97C" w14:textId="77777777" w:rsidR="00EE10F9" w:rsidRDefault="00EE10F9" w:rsidP="00EE10F9">
      <w:pPr>
        <w:spacing w:after="0"/>
        <w:ind w:left="360"/>
        <w:rPr>
          <w:rFonts w:ascii="Segoe UI" w:hAnsi="Segoe UI" w:cs="Segoe UI"/>
        </w:rPr>
      </w:pPr>
    </w:p>
    <w:p w14:paraId="6D343E90" w14:textId="77777777" w:rsidR="00EE10F9" w:rsidRDefault="00EE10F9" w:rsidP="00EE10F9">
      <w:pPr>
        <w:spacing w:after="0"/>
        <w:ind w:left="360"/>
        <w:rPr>
          <w:rFonts w:ascii="Segoe UI" w:hAnsi="Segoe UI" w:cs="Segoe UI"/>
        </w:rPr>
      </w:pPr>
    </w:p>
    <w:p w14:paraId="08511653" w14:textId="77777777" w:rsidR="00EE10F9" w:rsidRDefault="00EE10F9" w:rsidP="00EE10F9">
      <w:pPr>
        <w:spacing w:after="0"/>
        <w:ind w:left="360"/>
        <w:rPr>
          <w:rFonts w:ascii="Segoe UI" w:hAnsi="Segoe UI" w:cs="Segoe UI"/>
        </w:rPr>
      </w:pPr>
    </w:p>
    <w:p w14:paraId="29D212F2" w14:textId="77777777" w:rsidR="00EE10F9" w:rsidRDefault="00EE10F9" w:rsidP="00EE10F9">
      <w:pPr>
        <w:spacing w:after="0"/>
        <w:ind w:left="360"/>
        <w:rPr>
          <w:rFonts w:ascii="Segoe UI" w:hAnsi="Segoe UI" w:cs="Segoe UI"/>
        </w:rPr>
      </w:pPr>
    </w:p>
    <w:p w14:paraId="7B2D8881" w14:textId="77777777" w:rsidR="00EE10F9" w:rsidRDefault="00EE10F9" w:rsidP="00EE10F9">
      <w:pPr>
        <w:spacing w:after="0"/>
        <w:ind w:left="360"/>
        <w:rPr>
          <w:rFonts w:ascii="Segoe UI" w:hAnsi="Segoe UI" w:cs="Segoe UI"/>
        </w:rPr>
      </w:pPr>
    </w:p>
    <w:p w14:paraId="1CDABEB7" w14:textId="77777777" w:rsidR="00EE10F9" w:rsidRDefault="00EE10F9" w:rsidP="00EE10F9">
      <w:pPr>
        <w:spacing w:after="0"/>
        <w:ind w:left="360"/>
        <w:rPr>
          <w:rFonts w:ascii="Segoe UI" w:hAnsi="Segoe UI" w:cs="Segoe UI"/>
        </w:rPr>
      </w:pPr>
    </w:p>
    <w:p w14:paraId="0ED34415" w14:textId="77777777" w:rsidR="00EE10F9" w:rsidRDefault="00EE10F9" w:rsidP="00EE10F9">
      <w:pPr>
        <w:spacing w:after="0"/>
        <w:ind w:left="360"/>
        <w:rPr>
          <w:rFonts w:ascii="Segoe UI" w:hAnsi="Segoe UI" w:cs="Segoe UI"/>
        </w:rPr>
      </w:pPr>
    </w:p>
    <w:p w14:paraId="59E785AF" w14:textId="77777777" w:rsidR="00EE10F9" w:rsidRDefault="00EE10F9" w:rsidP="00EE10F9">
      <w:pPr>
        <w:spacing w:after="0"/>
        <w:ind w:left="360"/>
        <w:rPr>
          <w:rFonts w:ascii="Segoe UI" w:hAnsi="Segoe UI" w:cs="Segoe UI"/>
        </w:rPr>
      </w:pPr>
    </w:p>
    <w:p w14:paraId="22008349" w14:textId="77777777" w:rsidR="00EE10F9" w:rsidRDefault="00EE10F9" w:rsidP="00EE10F9">
      <w:pPr>
        <w:spacing w:after="0"/>
        <w:ind w:left="360"/>
        <w:rPr>
          <w:rFonts w:ascii="Segoe UI" w:hAnsi="Segoe UI" w:cs="Segoe UI"/>
        </w:rPr>
      </w:pPr>
    </w:p>
    <w:p w14:paraId="08B952E7" w14:textId="77777777" w:rsidR="00EE10F9" w:rsidRDefault="00EE10F9" w:rsidP="00EE10F9">
      <w:pPr>
        <w:spacing w:after="0"/>
        <w:ind w:left="360"/>
        <w:rPr>
          <w:rFonts w:ascii="Segoe UI" w:hAnsi="Segoe UI" w:cs="Segoe UI"/>
        </w:rPr>
      </w:pPr>
    </w:p>
    <w:p w14:paraId="2623FC7A" w14:textId="77777777" w:rsidR="00EE10F9" w:rsidRDefault="00EE10F9" w:rsidP="00EE10F9">
      <w:pPr>
        <w:spacing w:after="0"/>
        <w:rPr>
          <w:rFonts w:ascii="Segoe UI" w:hAnsi="Segoe UI" w:cs="Segoe UI"/>
        </w:rPr>
      </w:pPr>
    </w:p>
    <w:p w14:paraId="1B790F8B" w14:textId="77777777" w:rsidR="00EE10F9" w:rsidRDefault="00EE10F9" w:rsidP="00EE10F9">
      <w:pPr>
        <w:spacing w:after="0"/>
        <w:rPr>
          <w:rFonts w:ascii="Segoe UI" w:hAnsi="Segoe UI" w:cs="Segoe UI"/>
        </w:rPr>
      </w:pPr>
    </w:p>
    <w:p w14:paraId="0D665B71" w14:textId="77777777" w:rsidR="00EE10F9" w:rsidRDefault="00EE10F9" w:rsidP="00EE10F9">
      <w:pPr>
        <w:spacing w:after="0"/>
        <w:rPr>
          <w:rFonts w:ascii="Segoe UI" w:hAnsi="Segoe UI" w:cs="Segoe UI"/>
        </w:rPr>
      </w:pPr>
    </w:p>
    <w:p w14:paraId="2301D2F1" w14:textId="77777777" w:rsidR="0025619D" w:rsidRPr="0025619D" w:rsidRDefault="0025619D" w:rsidP="0025619D">
      <w:pPr>
        <w:pStyle w:val="NoSpacing"/>
        <w:rPr>
          <w:rFonts w:ascii="Segoe UI" w:hAnsi="Segoe UI" w:cs="Segoe UI"/>
        </w:rPr>
        <w:sectPr w:rsidR="0025619D" w:rsidRPr="0025619D" w:rsidSect="00D30508">
          <w:headerReference w:type="default" r:id="rId10"/>
          <w:footerReference w:type="default" r:id="rId11"/>
          <w:headerReference w:type="first" r:id="rId12"/>
          <w:pgSz w:w="12240" w:h="15840"/>
          <w:pgMar w:top="1008" w:right="1008" w:bottom="1008" w:left="1008" w:header="720" w:footer="432" w:gutter="0"/>
          <w:cols w:space="720"/>
          <w:titlePg/>
          <w:docGrid w:linePitch="360"/>
        </w:sectPr>
      </w:pPr>
    </w:p>
    <w:p w14:paraId="4B221D5B" w14:textId="77777777" w:rsidR="0008230A" w:rsidRPr="0025619D" w:rsidRDefault="0008230A" w:rsidP="00CD7FCD">
      <w:pPr>
        <w:spacing w:after="0"/>
        <w:rPr>
          <w:rFonts w:ascii="Segoe UI" w:hAnsi="Segoe UI" w:cs="Segoe UI"/>
        </w:rPr>
      </w:pPr>
    </w:p>
    <w:p w14:paraId="17A0349A" w14:textId="732A15E5" w:rsidR="00ED711A" w:rsidRPr="00CE24FC" w:rsidRDefault="00ED711A" w:rsidP="00CE24FC">
      <w:pPr>
        <w:spacing w:after="0"/>
        <w:rPr>
          <w:rFonts w:ascii="Segoe UI" w:hAnsi="Segoe UI" w:cs="Segoe UI"/>
          <w:u w:val="single"/>
        </w:rPr>
      </w:pPr>
      <w:r w:rsidRPr="00CE24FC">
        <w:rPr>
          <w:rFonts w:ascii="Segoe UI" w:hAnsi="Segoe UI" w:cs="Segoe UI"/>
          <w:b/>
        </w:rPr>
        <w:t xml:space="preserve"> </w:t>
      </w:r>
    </w:p>
    <w:p w14:paraId="4034BFA8" w14:textId="77777777" w:rsidR="0025619D" w:rsidRPr="0025619D" w:rsidRDefault="0025619D" w:rsidP="0025619D">
      <w:pPr>
        <w:spacing w:after="0"/>
        <w:rPr>
          <w:rFonts w:ascii="Segoe UI" w:hAnsi="Segoe UI" w:cs="Segoe UI"/>
          <w:b/>
        </w:rPr>
      </w:pPr>
    </w:p>
    <w:p w14:paraId="40026BDF" w14:textId="77777777" w:rsidR="007578D3" w:rsidRPr="00506783" w:rsidRDefault="007578D3" w:rsidP="007578D3">
      <w:pPr>
        <w:rPr>
          <w:rFonts w:ascii="Segoe UI" w:hAnsi="Segoe UI" w:cs="Segoe UI"/>
        </w:rPr>
      </w:pPr>
    </w:p>
    <w:sectPr w:rsidR="007578D3" w:rsidRPr="00506783" w:rsidSect="00D30508">
      <w:type w:val="continuous"/>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FB677" w14:textId="77777777" w:rsidR="005777BE" w:rsidRDefault="005777BE" w:rsidP="00903452">
      <w:pPr>
        <w:spacing w:after="0"/>
      </w:pPr>
      <w:r>
        <w:separator/>
      </w:r>
    </w:p>
  </w:endnote>
  <w:endnote w:type="continuationSeparator" w:id="0">
    <w:p w14:paraId="5F0EF912" w14:textId="77777777" w:rsidR="005777BE" w:rsidRDefault="005777BE" w:rsidP="00903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8219"/>
      <w:docPartObj>
        <w:docPartGallery w:val="Page Numbers (Bottom of Page)"/>
        <w:docPartUnique/>
      </w:docPartObj>
    </w:sdtPr>
    <w:sdtEndPr>
      <w:rPr>
        <w:noProof/>
      </w:rPr>
    </w:sdtEndPr>
    <w:sdtContent>
      <w:p w14:paraId="0A9BA6D0" w14:textId="77777777" w:rsidR="00EB6E20" w:rsidRDefault="00EB6E20">
        <w:pPr>
          <w:pStyle w:val="Footer"/>
          <w:jc w:val="center"/>
        </w:pPr>
      </w:p>
      <w:p w14:paraId="6D78B1AF" w14:textId="13AE1583" w:rsidR="00BD4797" w:rsidRDefault="00BD4797">
        <w:pPr>
          <w:pStyle w:val="Footer"/>
          <w:jc w:val="center"/>
        </w:pPr>
        <w:r>
          <w:fldChar w:fldCharType="begin"/>
        </w:r>
        <w:r>
          <w:instrText xml:space="preserve"> PAGE   \* MERGEFORMAT </w:instrText>
        </w:r>
        <w:r>
          <w:fldChar w:fldCharType="separate"/>
        </w:r>
        <w:r w:rsidR="00CA4A11">
          <w:rPr>
            <w:noProof/>
          </w:rPr>
          <w:t>3</w:t>
        </w:r>
        <w:r>
          <w:rPr>
            <w:noProof/>
          </w:rPr>
          <w:fldChar w:fldCharType="end"/>
        </w:r>
      </w:p>
    </w:sdtContent>
  </w:sdt>
  <w:p w14:paraId="4A456B6D" w14:textId="77777777" w:rsidR="00BD4797" w:rsidRDefault="00BD4797">
    <w:pPr>
      <w:pStyle w:val="Footer"/>
    </w:pPr>
  </w:p>
  <w:p w14:paraId="64372151" w14:textId="77777777" w:rsidR="00BD4797" w:rsidRDefault="00BD47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DC86E" w14:textId="77777777" w:rsidR="005777BE" w:rsidRDefault="005777BE" w:rsidP="00903452">
      <w:pPr>
        <w:spacing w:after="0"/>
      </w:pPr>
      <w:r>
        <w:separator/>
      </w:r>
    </w:p>
  </w:footnote>
  <w:footnote w:type="continuationSeparator" w:id="0">
    <w:p w14:paraId="5E2C31BD" w14:textId="77777777" w:rsidR="005777BE" w:rsidRDefault="005777BE" w:rsidP="00903452">
      <w:pPr>
        <w:spacing w:after="0"/>
      </w:pPr>
      <w:r>
        <w:continuationSeparator/>
      </w:r>
    </w:p>
  </w:footnote>
  <w:footnote w:id="1">
    <w:p w14:paraId="63ACEFA9" w14:textId="53DDB828" w:rsidR="00EB6E20" w:rsidRPr="00B34A23" w:rsidRDefault="00EB6E20" w:rsidP="00EB6E20">
      <w:pPr>
        <w:pStyle w:val="FootnoteText"/>
        <w:jc w:val="left"/>
        <w:rPr>
          <w:rFonts w:asciiTheme="minorHAnsi" w:hAnsiTheme="minorHAnsi" w:cs="Arial"/>
          <w:sz w:val="18"/>
          <w:szCs w:val="18"/>
        </w:rPr>
      </w:pPr>
      <w:r w:rsidRPr="00B34A23">
        <w:rPr>
          <w:rStyle w:val="FootnoteReference"/>
          <w:rFonts w:asciiTheme="minorHAnsi" w:hAnsiTheme="minorHAnsi" w:cs="Arial"/>
          <w:sz w:val="18"/>
          <w:szCs w:val="18"/>
        </w:rPr>
        <w:footnoteRef/>
      </w:r>
      <w:r w:rsidRPr="00B34A23">
        <w:rPr>
          <w:rFonts w:asciiTheme="minorHAnsi" w:hAnsiTheme="minorHAnsi" w:cs="Arial"/>
          <w:sz w:val="18"/>
          <w:szCs w:val="18"/>
        </w:rPr>
        <w:t xml:space="preserve"> Horner, R. H., Dunlap, G., </w:t>
      </w:r>
      <w:proofErr w:type="spellStart"/>
      <w:r w:rsidRPr="00B34A23">
        <w:rPr>
          <w:rFonts w:asciiTheme="minorHAnsi" w:hAnsiTheme="minorHAnsi" w:cs="Arial"/>
          <w:sz w:val="18"/>
          <w:szCs w:val="18"/>
        </w:rPr>
        <w:t>Koegel</w:t>
      </w:r>
      <w:proofErr w:type="spellEnd"/>
      <w:r w:rsidRPr="00B34A23">
        <w:rPr>
          <w:rFonts w:asciiTheme="minorHAnsi" w:hAnsiTheme="minorHAnsi" w:cs="Arial"/>
          <w:sz w:val="18"/>
          <w:szCs w:val="18"/>
        </w:rPr>
        <w:t xml:space="preserve">, R. L., </w:t>
      </w:r>
      <w:proofErr w:type="spellStart"/>
      <w:r w:rsidRPr="00B34A23">
        <w:rPr>
          <w:rFonts w:asciiTheme="minorHAnsi" w:hAnsiTheme="minorHAnsi" w:cs="Arial"/>
          <w:sz w:val="18"/>
          <w:szCs w:val="18"/>
        </w:rPr>
        <w:t>Carr</w:t>
      </w:r>
      <w:proofErr w:type="spellEnd"/>
      <w:r w:rsidRPr="00B34A23">
        <w:rPr>
          <w:rFonts w:asciiTheme="minorHAnsi" w:hAnsiTheme="minorHAnsi" w:cs="Arial"/>
          <w:sz w:val="18"/>
          <w:szCs w:val="18"/>
        </w:rPr>
        <w:t>, E. G., Sailor, W., Anderson, J</w:t>
      </w:r>
      <w:r>
        <w:rPr>
          <w:rFonts w:asciiTheme="minorHAnsi" w:hAnsiTheme="minorHAnsi" w:cs="Arial"/>
          <w:sz w:val="18"/>
          <w:szCs w:val="18"/>
        </w:rPr>
        <w:t xml:space="preserve">., </w:t>
      </w:r>
      <w:proofErr w:type="spellStart"/>
      <w:r>
        <w:rPr>
          <w:rFonts w:asciiTheme="minorHAnsi" w:hAnsiTheme="minorHAnsi" w:cs="Arial"/>
          <w:sz w:val="18"/>
          <w:szCs w:val="18"/>
        </w:rPr>
        <w:t>Albin</w:t>
      </w:r>
      <w:proofErr w:type="spellEnd"/>
      <w:r>
        <w:rPr>
          <w:rFonts w:asciiTheme="minorHAnsi" w:hAnsiTheme="minorHAnsi" w:cs="Arial"/>
          <w:sz w:val="18"/>
          <w:szCs w:val="18"/>
        </w:rPr>
        <w:t>, R. W., O’Neill, R. E.</w:t>
      </w:r>
      <w:r w:rsidRPr="00B34A23">
        <w:rPr>
          <w:rFonts w:asciiTheme="minorHAnsi" w:hAnsiTheme="minorHAnsi" w:cs="Arial"/>
          <w:sz w:val="18"/>
          <w:szCs w:val="18"/>
        </w:rPr>
        <w:t xml:space="preserve"> (1990)</w:t>
      </w:r>
      <w:r>
        <w:rPr>
          <w:rFonts w:asciiTheme="minorHAnsi" w:hAnsiTheme="minorHAnsi" w:cs="Arial"/>
          <w:sz w:val="18"/>
          <w:szCs w:val="18"/>
        </w:rPr>
        <w:t>.</w:t>
      </w:r>
      <w:r w:rsidRPr="00B34A23">
        <w:rPr>
          <w:rFonts w:asciiTheme="minorHAnsi" w:hAnsiTheme="minorHAnsi" w:cs="Arial"/>
          <w:sz w:val="18"/>
          <w:szCs w:val="18"/>
        </w:rPr>
        <w:t xml:space="preserve"> Towards a technology of '</w:t>
      </w:r>
      <w:proofErr w:type="spellStart"/>
      <w:r>
        <w:rPr>
          <w:rFonts w:asciiTheme="minorHAnsi" w:hAnsiTheme="minorHAnsi" w:cs="Arial"/>
          <w:sz w:val="18"/>
          <w:szCs w:val="18"/>
        </w:rPr>
        <w:t>nonaversive</w:t>
      </w:r>
      <w:proofErr w:type="spellEnd"/>
      <w:r>
        <w:rPr>
          <w:rFonts w:asciiTheme="minorHAnsi" w:hAnsiTheme="minorHAnsi" w:cs="Arial"/>
          <w:sz w:val="18"/>
          <w:szCs w:val="18"/>
        </w:rPr>
        <w:t xml:space="preserve"> </w:t>
      </w:r>
      <w:proofErr w:type="spellStart"/>
      <w:r>
        <w:rPr>
          <w:rFonts w:asciiTheme="minorHAnsi" w:hAnsiTheme="minorHAnsi" w:cs="Arial"/>
          <w:sz w:val="18"/>
          <w:szCs w:val="18"/>
        </w:rPr>
        <w:t>behavioural</w:t>
      </w:r>
      <w:proofErr w:type="spellEnd"/>
      <w:r>
        <w:rPr>
          <w:rFonts w:asciiTheme="minorHAnsi" w:hAnsiTheme="minorHAnsi" w:cs="Arial"/>
          <w:sz w:val="18"/>
          <w:szCs w:val="18"/>
        </w:rPr>
        <w:t xml:space="preserve"> support</w:t>
      </w:r>
      <w:r w:rsidRPr="00B34A23">
        <w:rPr>
          <w:rFonts w:asciiTheme="minorHAnsi" w:hAnsiTheme="minorHAnsi" w:cs="Arial"/>
          <w:sz w:val="18"/>
          <w:szCs w:val="18"/>
        </w:rPr>
        <w:t xml:space="preserve">, </w:t>
      </w:r>
      <w:r w:rsidRPr="00EB6E20">
        <w:rPr>
          <w:rFonts w:asciiTheme="minorHAnsi" w:hAnsiTheme="minorHAnsi" w:cs="Arial"/>
          <w:i/>
          <w:iCs/>
          <w:sz w:val="18"/>
          <w:szCs w:val="18"/>
        </w:rPr>
        <w:t>Research and Practice for Persons with Severe Disabilities</w:t>
      </w:r>
      <w:r>
        <w:rPr>
          <w:rFonts w:asciiTheme="minorHAnsi" w:hAnsiTheme="minorHAnsi" w:cs="Arial"/>
          <w:sz w:val="18"/>
          <w:szCs w:val="18"/>
        </w:rPr>
        <w:t>. 15</w:t>
      </w:r>
      <w:r w:rsidRPr="00B34A23">
        <w:rPr>
          <w:rFonts w:asciiTheme="minorHAnsi" w:hAnsiTheme="minorHAnsi" w:cs="Arial"/>
          <w:sz w:val="18"/>
          <w:szCs w:val="18"/>
        </w:rPr>
        <w:t>, 125-132.</w:t>
      </w:r>
    </w:p>
  </w:footnote>
  <w:footnote w:id="2">
    <w:p w14:paraId="7C73076C" w14:textId="77777777" w:rsidR="00EB6E20" w:rsidRPr="00B34A23" w:rsidRDefault="00EB6E20" w:rsidP="00EB6E20">
      <w:pPr>
        <w:pStyle w:val="FootnoteText"/>
        <w:rPr>
          <w:rFonts w:asciiTheme="minorHAnsi" w:hAnsiTheme="minorHAnsi"/>
          <w:sz w:val="18"/>
          <w:szCs w:val="18"/>
        </w:rPr>
      </w:pPr>
      <w:r w:rsidRPr="00B34A23">
        <w:rPr>
          <w:rStyle w:val="FootnoteReference"/>
          <w:rFonts w:asciiTheme="minorHAnsi" w:hAnsiTheme="minorHAnsi"/>
          <w:sz w:val="18"/>
          <w:szCs w:val="18"/>
        </w:rPr>
        <w:footnoteRef/>
      </w:r>
      <w:r w:rsidRPr="00B34A23">
        <w:rPr>
          <w:rFonts w:asciiTheme="minorHAnsi" w:hAnsiTheme="minorHAnsi"/>
          <w:sz w:val="18"/>
          <w:szCs w:val="18"/>
        </w:rPr>
        <w:t xml:space="preserve"> The Developmental Disabilities Assistance and Bill of Rights Act of 2000, Sec. 101(b). </w:t>
      </w:r>
    </w:p>
  </w:footnote>
  <w:footnote w:id="3">
    <w:p w14:paraId="63F0C30D" w14:textId="77777777" w:rsidR="00EB6E20" w:rsidRPr="00D6441C" w:rsidRDefault="00EB6E20" w:rsidP="00EB6E20">
      <w:pPr>
        <w:pStyle w:val="FootnoteText"/>
        <w:jc w:val="left"/>
        <w:rPr>
          <w:rFonts w:asciiTheme="minorHAnsi" w:hAnsiTheme="minorHAnsi"/>
          <w:sz w:val="18"/>
          <w:szCs w:val="18"/>
        </w:rPr>
      </w:pPr>
      <w:r w:rsidRPr="00D6441C">
        <w:rPr>
          <w:rStyle w:val="FootnoteReference"/>
          <w:rFonts w:asciiTheme="minorHAnsi" w:hAnsiTheme="minorHAnsi"/>
          <w:sz w:val="18"/>
          <w:szCs w:val="18"/>
        </w:rPr>
        <w:footnoteRef/>
      </w:r>
      <w:r w:rsidRPr="00D6441C">
        <w:rPr>
          <w:rFonts w:asciiTheme="minorHAnsi" w:hAnsiTheme="minorHAnsi"/>
          <w:sz w:val="18"/>
          <w:szCs w:val="18"/>
        </w:rPr>
        <w:t xml:space="preserve"> The Developmental Disabilities Assistance and Bill of Rights Act of 2000, Sec. 101(a)(</w:t>
      </w:r>
      <w:proofErr w:type="gramStart"/>
      <w:r w:rsidRPr="00D6441C">
        <w:rPr>
          <w:rFonts w:asciiTheme="minorHAnsi" w:hAnsiTheme="minorHAnsi"/>
          <w:sz w:val="18"/>
          <w:szCs w:val="18"/>
        </w:rPr>
        <w:t>16)(</w:t>
      </w:r>
      <w:proofErr w:type="gramEnd"/>
      <w:r w:rsidRPr="00D6441C">
        <w:rPr>
          <w:rFonts w:asciiTheme="minorHAnsi" w:hAnsiTheme="minorHAnsi"/>
          <w:sz w:val="18"/>
          <w:szCs w:val="18"/>
        </w:rPr>
        <w:t>F).</w:t>
      </w:r>
    </w:p>
  </w:footnote>
  <w:footnote w:id="4">
    <w:p w14:paraId="2677BDA3" w14:textId="77777777" w:rsidR="00EB6E20" w:rsidRPr="00A12C96" w:rsidRDefault="00EB6E20" w:rsidP="00EB6E20">
      <w:pPr>
        <w:pStyle w:val="FootnoteText"/>
        <w:jc w:val="left"/>
        <w:rPr>
          <w:rFonts w:ascii="Arial" w:hAnsi="Arial" w:cs="Arial"/>
          <w:sz w:val="18"/>
          <w:szCs w:val="18"/>
        </w:rPr>
      </w:pPr>
      <w:r w:rsidRPr="00D6441C">
        <w:rPr>
          <w:rStyle w:val="FootnoteReference"/>
          <w:rFonts w:asciiTheme="minorHAnsi" w:hAnsiTheme="minorHAnsi" w:cs="Arial"/>
          <w:sz w:val="18"/>
          <w:szCs w:val="18"/>
        </w:rPr>
        <w:footnoteRef/>
      </w:r>
      <w:r w:rsidRPr="00D6441C">
        <w:rPr>
          <w:rFonts w:asciiTheme="minorHAnsi" w:hAnsiTheme="minorHAnsi" w:cs="Arial"/>
          <w:sz w:val="18"/>
          <w:szCs w:val="18"/>
        </w:rPr>
        <w:t xml:space="preserve"> U.S. Department of Education, Restraint and Seclusion: Resource Document, (May 2012) at </w:t>
      </w:r>
      <w:hyperlink r:id="rId1" w:history="1">
        <w:r w:rsidRPr="00D6441C">
          <w:rPr>
            <w:rStyle w:val="Hyperlink"/>
            <w:rFonts w:asciiTheme="minorHAnsi" w:hAnsiTheme="minorHAnsi" w:cs="Arial"/>
            <w:sz w:val="18"/>
            <w:szCs w:val="18"/>
          </w:rPr>
          <w:t>http://www2.ed.gov/policy/seclusion/restraints-and-seclusion-resources.pdf</w:t>
        </w:r>
      </w:hyperlink>
      <w:r w:rsidRPr="00A12C96">
        <w:rPr>
          <w:rFonts w:ascii="Arial" w:hAnsi="Arial" w:cs="Arial"/>
          <w:sz w:val="18"/>
          <w:szCs w:val="18"/>
        </w:rPr>
        <w:t xml:space="preserve"> </w:t>
      </w:r>
    </w:p>
  </w:footnote>
  <w:footnote w:id="5">
    <w:p w14:paraId="5AB2EFFA" w14:textId="77777777" w:rsidR="00EB6E20" w:rsidRPr="00B34A23" w:rsidRDefault="00EB6E20" w:rsidP="00EB6E20">
      <w:pPr>
        <w:pStyle w:val="FootnoteText"/>
        <w:rPr>
          <w:rFonts w:asciiTheme="minorHAnsi" w:hAnsiTheme="minorHAnsi"/>
        </w:rPr>
      </w:pPr>
      <w:r w:rsidRPr="00B34A23">
        <w:rPr>
          <w:rStyle w:val="FootnoteReference"/>
          <w:rFonts w:asciiTheme="minorHAnsi" w:hAnsiTheme="minorHAnsi" w:cs="Arial"/>
          <w:sz w:val="18"/>
          <w:szCs w:val="18"/>
        </w:rPr>
        <w:footnoteRef/>
      </w:r>
      <w:r w:rsidRPr="00B34A23">
        <w:rPr>
          <w:rFonts w:asciiTheme="minorHAnsi" w:hAnsiTheme="minorHAnsi" w:cs="Arial"/>
          <w:sz w:val="18"/>
          <w:szCs w:val="18"/>
        </w:rPr>
        <w:t xml:space="preserve"> http://www.help.senate.gov/hearings/hearing/?id=28ddbd0d-5056-9502-5dea-7197eb6434c8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F7A9" w14:textId="77777777" w:rsidR="00CA4A11" w:rsidRPr="00EB6E20" w:rsidRDefault="00CA4A11" w:rsidP="00CA4A11">
    <w:pPr>
      <w:pStyle w:val="NoSpacing"/>
      <w:jc w:val="center"/>
      <w:rPr>
        <w:rFonts w:ascii="Segoe UI" w:hAnsi="Segoe UI" w:cs="Segoe UI"/>
        <w:b/>
        <w:i/>
      </w:rPr>
    </w:pPr>
    <w:r w:rsidRPr="00CA4A11">
      <w:rPr>
        <w:rFonts w:ascii="Segoe UI" w:hAnsi="Segoe UI" w:cs="Segoe UI"/>
        <w:b/>
        <w:i/>
        <w:highlight w:val="yellow"/>
      </w:rPr>
      <w:t>DRAFT Comments to be submitted May 25, 2016</w:t>
    </w:r>
  </w:p>
  <w:p w14:paraId="4D82967A" w14:textId="4DBAF6CF" w:rsidR="00BD4797" w:rsidRDefault="00BD4797">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89F2" w14:textId="2963B324" w:rsidR="0008230A" w:rsidRDefault="00BD4797" w:rsidP="001E74A1">
    <w:pPr>
      <w:pStyle w:val="Header"/>
      <w:rPr>
        <w:noProof/>
      </w:rPr>
    </w:pPr>
    <w:r>
      <w:tab/>
    </w:r>
    <w:r w:rsidR="00D30508">
      <w:rPr>
        <w:noProof/>
      </w:rPr>
      <w:drawing>
        <wp:inline distT="0" distB="0" distL="0" distR="0" wp14:anchorId="575A2204" wp14:editId="6DBC6253">
          <wp:extent cx="3172787" cy="904875"/>
          <wp:effectExtent l="0" t="0" r="8890" b="0"/>
          <wp:docPr id="22" name="Picture 22" descr="C:\Users\csmith\AppData\Local\Microsoft\Windows\Temporary Internet Files\Content.Outlook\WNLFTN01\NDRN_final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mith\AppData\Local\Microsoft\Windows\Temporary Internet Files\Content.Outlook\WNLFTN01\NDRN_final_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555" cy="909942"/>
                  </a:xfrm>
                  <a:prstGeom prst="rect">
                    <a:avLst/>
                  </a:prstGeom>
                  <a:noFill/>
                  <a:ln>
                    <a:noFill/>
                  </a:ln>
                </pic:spPr>
              </pic:pic>
            </a:graphicData>
          </a:graphic>
        </wp:inline>
      </w:drawing>
    </w:r>
    <w:r w:rsidR="001E74A1" w:rsidRPr="001E74A1">
      <w:rPr>
        <w:noProof/>
      </w:rPr>
      <w:t xml:space="preserve"> </w:t>
    </w:r>
    <w:r w:rsidR="001E74A1">
      <w:rPr>
        <w:noProof/>
      </w:rPr>
      <w:drawing>
        <wp:inline distT="0" distB="0" distL="0" distR="0" wp14:anchorId="09BEE741" wp14:editId="2ECF0D14">
          <wp:extent cx="1981200" cy="7075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d_4c_pms_colors.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6591" cy="720213"/>
                  </a:xfrm>
                  <a:prstGeom prst="rect">
                    <a:avLst/>
                  </a:prstGeom>
                </pic:spPr>
              </pic:pic>
            </a:graphicData>
          </a:graphic>
        </wp:inline>
      </w:drawing>
    </w:r>
    <w:r w:rsidR="00D30508">
      <w:tab/>
    </w:r>
  </w:p>
  <w:p w14:paraId="752C5429" w14:textId="77777777" w:rsidR="0008230A" w:rsidRDefault="0008230A" w:rsidP="001E74A1">
    <w:pPr>
      <w:pStyle w:val="Header"/>
      <w:rPr>
        <w:noProof/>
      </w:rPr>
    </w:pPr>
  </w:p>
  <w:p w14:paraId="608D7F15" w14:textId="3A175007" w:rsidR="00BD4797" w:rsidRDefault="0008230A" w:rsidP="0008230A">
    <w:pPr>
      <w:pStyle w:val="Header"/>
      <w:jc w:val="center"/>
    </w:pPr>
    <w:r w:rsidRPr="00B4540B">
      <w:rPr>
        <w:noProof/>
      </w:rPr>
      <w:drawing>
        <wp:inline distT="0" distB="0" distL="0" distR="0" wp14:anchorId="2E3DF6DD" wp14:editId="1A345740">
          <wp:extent cx="2790825" cy="953093"/>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05852" cy="958225"/>
                  </a:xfrm>
                  <a:prstGeom prst="rect">
                    <a:avLst/>
                  </a:prstGeom>
                </pic:spPr>
              </pic:pic>
            </a:graphicData>
          </a:graphic>
        </wp:inline>
      </w:drawing>
    </w:r>
  </w:p>
  <w:p w14:paraId="2B65E620" w14:textId="1D05CF9C" w:rsidR="00CA4A11" w:rsidRDefault="00CA4A11" w:rsidP="0008230A">
    <w:pPr>
      <w:pStyle w:val="Header"/>
      <w:jc w:val="center"/>
    </w:pPr>
  </w:p>
  <w:p w14:paraId="624AAF33" w14:textId="77777777" w:rsidR="00CA4A11" w:rsidRPr="00EB6E20" w:rsidRDefault="00CA4A11" w:rsidP="00CA4A11">
    <w:pPr>
      <w:pStyle w:val="NoSpacing"/>
      <w:jc w:val="center"/>
      <w:rPr>
        <w:rFonts w:ascii="Segoe UI" w:hAnsi="Segoe UI" w:cs="Segoe UI"/>
        <w:b/>
        <w:i/>
      </w:rPr>
    </w:pPr>
    <w:r w:rsidRPr="00CA4A11">
      <w:rPr>
        <w:rFonts w:ascii="Segoe UI" w:hAnsi="Segoe UI" w:cs="Segoe UI"/>
        <w:b/>
        <w:i/>
        <w:highlight w:val="yellow"/>
      </w:rPr>
      <w:t>DRAFT Comments to be submitted May 25, 2016</w:t>
    </w:r>
  </w:p>
  <w:p w14:paraId="02FA6473" w14:textId="77777777" w:rsidR="00CA4A11" w:rsidRDefault="00CA4A11" w:rsidP="000823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EE5"/>
    <w:multiLevelType w:val="hybridMultilevel"/>
    <w:tmpl w:val="11044A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752A4"/>
    <w:multiLevelType w:val="hybridMultilevel"/>
    <w:tmpl w:val="148E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07EA"/>
    <w:multiLevelType w:val="hybridMultilevel"/>
    <w:tmpl w:val="DBB2DAF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E6DA9"/>
    <w:multiLevelType w:val="hybridMultilevel"/>
    <w:tmpl w:val="916A36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AF1E6F"/>
    <w:multiLevelType w:val="hybridMultilevel"/>
    <w:tmpl w:val="78024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B4E13"/>
    <w:multiLevelType w:val="hybridMultilevel"/>
    <w:tmpl w:val="98DA78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E72089"/>
    <w:multiLevelType w:val="hybridMultilevel"/>
    <w:tmpl w:val="EC2260DC"/>
    <w:lvl w:ilvl="0" w:tplc="04090001">
      <w:start w:val="1"/>
      <w:numFmt w:val="bullet"/>
      <w:lvlText w:val=""/>
      <w:lvlJc w:val="left"/>
      <w:pPr>
        <w:ind w:left="1800" w:hanging="360"/>
      </w:pPr>
      <w:rPr>
        <w:rFonts w:ascii="Symbol" w:hAnsi="Symbol" w:hint="default"/>
        <w:color w:val="auto"/>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0D54BD"/>
    <w:multiLevelType w:val="hybridMultilevel"/>
    <w:tmpl w:val="42DEB0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1B59E7"/>
    <w:multiLevelType w:val="hybridMultilevel"/>
    <w:tmpl w:val="61FA24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B11AF"/>
    <w:multiLevelType w:val="hybridMultilevel"/>
    <w:tmpl w:val="1DF0F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2BB42B0"/>
    <w:multiLevelType w:val="hybridMultilevel"/>
    <w:tmpl w:val="64AC8202"/>
    <w:lvl w:ilvl="0" w:tplc="04090001">
      <w:start w:val="1"/>
      <w:numFmt w:val="bullet"/>
      <w:lvlText w:val=""/>
      <w:lvlJc w:val="left"/>
      <w:pPr>
        <w:ind w:left="1276" w:hanging="360"/>
      </w:pPr>
      <w:rPr>
        <w:rFonts w:ascii="Symbol" w:hAnsi="Symbol" w:hint="default"/>
      </w:rPr>
    </w:lvl>
    <w:lvl w:ilvl="1" w:tplc="04090001">
      <w:start w:val="1"/>
      <w:numFmt w:val="bullet"/>
      <w:lvlText w:val=""/>
      <w:lvlJc w:val="left"/>
      <w:pPr>
        <w:ind w:left="1996" w:hanging="360"/>
      </w:pPr>
      <w:rPr>
        <w:rFonts w:ascii="Symbol" w:hAnsi="Symbol" w:hint="default"/>
      </w:rPr>
    </w:lvl>
    <w:lvl w:ilvl="2" w:tplc="04090001">
      <w:start w:val="1"/>
      <w:numFmt w:val="bullet"/>
      <w:lvlText w:val=""/>
      <w:lvlJc w:val="left"/>
      <w:pPr>
        <w:ind w:left="2716" w:hanging="360"/>
      </w:pPr>
      <w:rPr>
        <w:rFonts w:ascii="Symbol" w:hAnsi="Symbol"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6B5525C"/>
    <w:multiLevelType w:val="hybridMultilevel"/>
    <w:tmpl w:val="927A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8418C"/>
    <w:multiLevelType w:val="hybridMultilevel"/>
    <w:tmpl w:val="63761D7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0870F8C"/>
    <w:multiLevelType w:val="hybridMultilevel"/>
    <w:tmpl w:val="6520E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E529F"/>
    <w:multiLevelType w:val="hybridMultilevel"/>
    <w:tmpl w:val="7D3CED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6030B"/>
    <w:multiLevelType w:val="hybridMultilevel"/>
    <w:tmpl w:val="1E3E7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96537"/>
    <w:multiLevelType w:val="hybridMultilevel"/>
    <w:tmpl w:val="C264EA3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101C6E"/>
    <w:multiLevelType w:val="hybridMultilevel"/>
    <w:tmpl w:val="E0FA6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C241610"/>
    <w:multiLevelType w:val="hybridMultilevel"/>
    <w:tmpl w:val="72884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8671F"/>
    <w:multiLevelType w:val="hybridMultilevel"/>
    <w:tmpl w:val="6F022F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AE41BA"/>
    <w:multiLevelType w:val="hybridMultilevel"/>
    <w:tmpl w:val="62E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8278B"/>
    <w:multiLevelType w:val="hybridMultilevel"/>
    <w:tmpl w:val="7FEA99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1C6507"/>
    <w:multiLevelType w:val="hybridMultilevel"/>
    <w:tmpl w:val="646CE3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E4202C5"/>
    <w:multiLevelType w:val="hybridMultilevel"/>
    <w:tmpl w:val="FF4C8F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602132"/>
    <w:multiLevelType w:val="hybridMultilevel"/>
    <w:tmpl w:val="BE66EC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6621F8"/>
    <w:multiLevelType w:val="hybridMultilevel"/>
    <w:tmpl w:val="1E54D0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7C97000"/>
    <w:multiLevelType w:val="hybridMultilevel"/>
    <w:tmpl w:val="2320D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2266CD"/>
    <w:multiLevelType w:val="hybridMultilevel"/>
    <w:tmpl w:val="3EACBAD4"/>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FF1D5E"/>
    <w:multiLevelType w:val="hybridMultilevel"/>
    <w:tmpl w:val="971481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4E6DD3"/>
    <w:multiLevelType w:val="hybridMultilevel"/>
    <w:tmpl w:val="29A05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A5C22"/>
    <w:multiLevelType w:val="hybridMultilevel"/>
    <w:tmpl w:val="90C2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A5AD3"/>
    <w:multiLevelType w:val="hybridMultilevel"/>
    <w:tmpl w:val="420E9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F4186"/>
    <w:multiLevelType w:val="hybridMultilevel"/>
    <w:tmpl w:val="063EC1F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5A5432"/>
    <w:multiLevelType w:val="hybridMultilevel"/>
    <w:tmpl w:val="80EC49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7E2409"/>
    <w:multiLevelType w:val="hybridMultilevel"/>
    <w:tmpl w:val="D4F40D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10"/>
  </w:num>
  <w:num w:numId="4">
    <w:abstractNumId w:val="34"/>
  </w:num>
  <w:num w:numId="5">
    <w:abstractNumId w:val="12"/>
  </w:num>
  <w:num w:numId="6">
    <w:abstractNumId w:val="30"/>
  </w:num>
  <w:num w:numId="7">
    <w:abstractNumId w:val="32"/>
  </w:num>
  <w:num w:numId="8">
    <w:abstractNumId w:val="14"/>
  </w:num>
  <w:num w:numId="9">
    <w:abstractNumId w:val="28"/>
  </w:num>
  <w:num w:numId="10">
    <w:abstractNumId w:val="8"/>
  </w:num>
  <w:num w:numId="11">
    <w:abstractNumId w:val="13"/>
  </w:num>
  <w:num w:numId="12">
    <w:abstractNumId w:val="33"/>
  </w:num>
  <w:num w:numId="13">
    <w:abstractNumId w:val="23"/>
  </w:num>
  <w:num w:numId="14">
    <w:abstractNumId w:val="22"/>
  </w:num>
  <w:num w:numId="15">
    <w:abstractNumId w:val="17"/>
  </w:num>
  <w:num w:numId="16">
    <w:abstractNumId w:val="5"/>
  </w:num>
  <w:num w:numId="17">
    <w:abstractNumId w:val="24"/>
  </w:num>
  <w:num w:numId="18">
    <w:abstractNumId w:val="20"/>
  </w:num>
  <w:num w:numId="19">
    <w:abstractNumId w:val="0"/>
  </w:num>
  <w:num w:numId="20">
    <w:abstractNumId w:val="31"/>
  </w:num>
  <w:num w:numId="21">
    <w:abstractNumId w:val="16"/>
  </w:num>
  <w:num w:numId="22">
    <w:abstractNumId w:val="1"/>
  </w:num>
  <w:num w:numId="23">
    <w:abstractNumId w:val="29"/>
  </w:num>
  <w:num w:numId="24">
    <w:abstractNumId w:val="26"/>
  </w:num>
  <w:num w:numId="25">
    <w:abstractNumId w:val="19"/>
  </w:num>
  <w:num w:numId="26">
    <w:abstractNumId w:val="21"/>
  </w:num>
  <w:num w:numId="27">
    <w:abstractNumId w:val="3"/>
  </w:num>
  <w:num w:numId="28">
    <w:abstractNumId w:val="35"/>
  </w:num>
  <w:num w:numId="29">
    <w:abstractNumId w:val="25"/>
  </w:num>
  <w:num w:numId="30">
    <w:abstractNumId w:val="6"/>
  </w:num>
  <w:num w:numId="31">
    <w:abstractNumId w:val="2"/>
  </w:num>
  <w:num w:numId="32">
    <w:abstractNumId w:val="18"/>
  </w:num>
  <w:num w:numId="33">
    <w:abstractNumId w:val="7"/>
  </w:num>
  <w:num w:numId="34">
    <w:abstractNumId w:val="4"/>
  </w:num>
  <w:num w:numId="35">
    <w:abstractNumId w:val="27"/>
  </w:num>
  <w:num w:numId="36">
    <w:abstractNumId w:val="9"/>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13"/>
    <w:rsid w:val="00037101"/>
    <w:rsid w:val="00043376"/>
    <w:rsid w:val="000461D8"/>
    <w:rsid w:val="00067801"/>
    <w:rsid w:val="00081C9F"/>
    <w:rsid w:val="0008230A"/>
    <w:rsid w:val="00091DFD"/>
    <w:rsid w:val="000F2CEE"/>
    <w:rsid w:val="00104238"/>
    <w:rsid w:val="00105337"/>
    <w:rsid w:val="00111095"/>
    <w:rsid w:val="001210C2"/>
    <w:rsid w:val="00136C0F"/>
    <w:rsid w:val="00137324"/>
    <w:rsid w:val="00160AEB"/>
    <w:rsid w:val="001760F9"/>
    <w:rsid w:val="00184118"/>
    <w:rsid w:val="001A0250"/>
    <w:rsid w:val="001B4A83"/>
    <w:rsid w:val="001E1D10"/>
    <w:rsid w:val="001E74A1"/>
    <w:rsid w:val="001F3402"/>
    <w:rsid w:val="001F4EED"/>
    <w:rsid w:val="002218D2"/>
    <w:rsid w:val="0023099D"/>
    <w:rsid w:val="00237CDD"/>
    <w:rsid w:val="0025619D"/>
    <w:rsid w:val="002638D6"/>
    <w:rsid w:val="0026669F"/>
    <w:rsid w:val="002A2421"/>
    <w:rsid w:val="002A7B52"/>
    <w:rsid w:val="002B7EB4"/>
    <w:rsid w:val="002C4ED3"/>
    <w:rsid w:val="002C6B1F"/>
    <w:rsid w:val="00304CC4"/>
    <w:rsid w:val="0030683E"/>
    <w:rsid w:val="003111A7"/>
    <w:rsid w:val="00347F79"/>
    <w:rsid w:val="003515CE"/>
    <w:rsid w:val="00354237"/>
    <w:rsid w:val="00372E71"/>
    <w:rsid w:val="0038538F"/>
    <w:rsid w:val="0039390B"/>
    <w:rsid w:val="003939E1"/>
    <w:rsid w:val="00397C81"/>
    <w:rsid w:val="003A6C63"/>
    <w:rsid w:val="003C7D02"/>
    <w:rsid w:val="003E40EE"/>
    <w:rsid w:val="003F2419"/>
    <w:rsid w:val="0040364D"/>
    <w:rsid w:val="00412150"/>
    <w:rsid w:val="004268F7"/>
    <w:rsid w:val="00456A8D"/>
    <w:rsid w:val="004712F5"/>
    <w:rsid w:val="00483B96"/>
    <w:rsid w:val="004D2F20"/>
    <w:rsid w:val="004E09C8"/>
    <w:rsid w:val="004E6A9B"/>
    <w:rsid w:val="004F6DF1"/>
    <w:rsid w:val="00506783"/>
    <w:rsid w:val="005152E8"/>
    <w:rsid w:val="00516DD0"/>
    <w:rsid w:val="00523FE5"/>
    <w:rsid w:val="0053627A"/>
    <w:rsid w:val="00536597"/>
    <w:rsid w:val="00552039"/>
    <w:rsid w:val="005777BE"/>
    <w:rsid w:val="0059028A"/>
    <w:rsid w:val="00596AF2"/>
    <w:rsid w:val="005A7A75"/>
    <w:rsid w:val="005E71DC"/>
    <w:rsid w:val="0061535D"/>
    <w:rsid w:val="0062576E"/>
    <w:rsid w:val="00630CF1"/>
    <w:rsid w:val="006311C3"/>
    <w:rsid w:val="00633186"/>
    <w:rsid w:val="00646A7F"/>
    <w:rsid w:val="00651FEA"/>
    <w:rsid w:val="00673C91"/>
    <w:rsid w:val="00675CC1"/>
    <w:rsid w:val="00682BEB"/>
    <w:rsid w:val="0069466A"/>
    <w:rsid w:val="006B0B3B"/>
    <w:rsid w:val="006B2D2D"/>
    <w:rsid w:val="006C359B"/>
    <w:rsid w:val="006D5B37"/>
    <w:rsid w:val="006E35D5"/>
    <w:rsid w:val="006F27E2"/>
    <w:rsid w:val="00711F4B"/>
    <w:rsid w:val="007271D7"/>
    <w:rsid w:val="00731223"/>
    <w:rsid w:val="00741DB2"/>
    <w:rsid w:val="00756DB7"/>
    <w:rsid w:val="007578D3"/>
    <w:rsid w:val="007772E7"/>
    <w:rsid w:val="00777983"/>
    <w:rsid w:val="00781F27"/>
    <w:rsid w:val="007A5B88"/>
    <w:rsid w:val="007D4D09"/>
    <w:rsid w:val="007D75E4"/>
    <w:rsid w:val="007E580B"/>
    <w:rsid w:val="007F386A"/>
    <w:rsid w:val="00810698"/>
    <w:rsid w:val="00814877"/>
    <w:rsid w:val="00840A22"/>
    <w:rsid w:val="00857A67"/>
    <w:rsid w:val="008874BA"/>
    <w:rsid w:val="00895F93"/>
    <w:rsid w:val="008B76D3"/>
    <w:rsid w:val="008E1328"/>
    <w:rsid w:val="00902761"/>
    <w:rsid w:val="00903452"/>
    <w:rsid w:val="00904383"/>
    <w:rsid w:val="00912CFB"/>
    <w:rsid w:val="00940C42"/>
    <w:rsid w:val="00953825"/>
    <w:rsid w:val="00963EC9"/>
    <w:rsid w:val="00964441"/>
    <w:rsid w:val="009749F1"/>
    <w:rsid w:val="00975E66"/>
    <w:rsid w:val="00986FF1"/>
    <w:rsid w:val="009939EC"/>
    <w:rsid w:val="009A15D5"/>
    <w:rsid w:val="009C2C91"/>
    <w:rsid w:val="009F4939"/>
    <w:rsid w:val="00A167E7"/>
    <w:rsid w:val="00A24A9C"/>
    <w:rsid w:val="00A2584B"/>
    <w:rsid w:val="00A47E76"/>
    <w:rsid w:val="00A55CAB"/>
    <w:rsid w:val="00A905B8"/>
    <w:rsid w:val="00AA4261"/>
    <w:rsid w:val="00AC7B13"/>
    <w:rsid w:val="00AE3367"/>
    <w:rsid w:val="00AE4364"/>
    <w:rsid w:val="00AE650C"/>
    <w:rsid w:val="00AE6FB3"/>
    <w:rsid w:val="00AF0FFF"/>
    <w:rsid w:val="00B06CDA"/>
    <w:rsid w:val="00B165A5"/>
    <w:rsid w:val="00B324AD"/>
    <w:rsid w:val="00B41D98"/>
    <w:rsid w:val="00B41ECF"/>
    <w:rsid w:val="00B43DE2"/>
    <w:rsid w:val="00B63CB5"/>
    <w:rsid w:val="00B70830"/>
    <w:rsid w:val="00B71D2E"/>
    <w:rsid w:val="00B868D7"/>
    <w:rsid w:val="00BA22FA"/>
    <w:rsid w:val="00BC5A70"/>
    <w:rsid w:val="00BD1ED0"/>
    <w:rsid w:val="00BD4797"/>
    <w:rsid w:val="00BD4947"/>
    <w:rsid w:val="00BF3D19"/>
    <w:rsid w:val="00C165BA"/>
    <w:rsid w:val="00C557F8"/>
    <w:rsid w:val="00C57FA9"/>
    <w:rsid w:val="00C6531D"/>
    <w:rsid w:val="00C93157"/>
    <w:rsid w:val="00C95AC8"/>
    <w:rsid w:val="00CA302A"/>
    <w:rsid w:val="00CA4A11"/>
    <w:rsid w:val="00CA7149"/>
    <w:rsid w:val="00CC59FA"/>
    <w:rsid w:val="00CC5E9F"/>
    <w:rsid w:val="00CC626C"/>
    <w:rsid w:val="00CD7FCD"/>
    <w:rsid w:val="00CE24FC"/>
    <w:rsid w:val="00CF6E61"/>
    <w:rsid w:val="00D30508"/>
    <w:rsid w:val="00D32353"/>
    <w:rsid w:val="00D363FB"/>
    <w:rsid w:val="00D6441C"/>
    <w:rsid w:val="00D741EB"/>
    <w:rsid w:val="00D92973"/>
    <w:rsid w:val="00DA302D"/>
    <w:rsid w:val="00DA49D7"/>
    <w:rsid w:val="00DD045E"/>
    <w:rsid w:val="00DE2B38"/>
    <w:rsid w:val="00DE7F0B"/>
    <w:rsid w:val="00DF5EAA"/>
    <w:rsid w:val="00E0239B"/>
    <w:rsid w:val="00E03C4B"/>
    <w:rsid w:val="00E47FDE"/>
    <w:rsid w:val="00E5540C"/>
    <w:rsid w:val="00E66FE4"/>
    <w:rsid w:val="00E75201"/>
    <w:rsid w:val="00EA7295"/>
    <w:rsid w:val="00EB1207"/>
    <w:rsid w:val="00EB2B9F"/>
    <w:rsid w:val="00EB2DE8"/>
    <w:rsid w:val="00EB6E20"/>
    <w:rsid w:val="00ED6FED"/>
    <w:rsid w:val="00ED711A"/>
    <w:rsid w:val="00EE10F9"/>
    <w:rsid w:val="00F342DF"/>
    <w:rsid w:val="00F63167"/>
    <w:rsid w:val="00F758D4"/>
    <w:rsid w:val="00F86A26"/>
    <w:rsid w:val="00F97D9B"/>
    <w:rsid w:val="00FC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292A"/>
  <w15:docId w15:val="{B9446BC9-6A85-4048-9591-5967182F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11"/>
  </w:style>
  <w:style w:type="paragraph" w:styleId="Heading1">
    <w:name w:val="heading 1"/>
    <w:basedOn w:val="Normal"/>
    <w:next w:val="Normal"/>
    <w:link w:val="Heading1Char"/>
    <w:uiPriority w:val="9"/>
    <w:qFormat/>
    <w:rsid w:val="00CA4A11"/>
    <w:pPr>
      <w:keepNext/>
      <w:keepLines/>
      <w:spacing w:before="400" w:after="40"/>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A4A11"/>
    <w:pPr>
      <w:keepNext/>
      <w:keepLines/>
      <w:spacing w:before="120" w:after="0"/>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A4A11"/>
    <w:pPr>
      <w:keepNext/>
      <w:keepLines/>
      <w:spacing w:before="120" w:after="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A4A1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A4A1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A4A1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A4A1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A4A1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A4A1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421"/>
    <w:pPr>
      <w:ind w:left="720"/>
      <w:contextualSpacing/>
    </w:pPr>
  </w:style>
  <w:style w:type="paragraph" w:styleId="Header">
    <w:name w:val="header"/>
    <w:basedOn w:val="Normal"/>
    <w:link w:val="HeaderChar"/>
    <w:unhideWhenUsed/>
    <w:rsid w:val="00903452"/>
    <w:pPr>
      <w:tabs>
        <w:tab w:val="center" w:pos="4680"/>
        <w:tab w:val="right" w:pos="9360"/>
      </w:tabs>
      <w:spacing w:after="0"/>
    </w:pPr>
  </w:style>
  <w:style w:type="character" w:customStyle="1" w:styleId="HeaderChar">
    <w:name w:val="Header Char"/>
    <w:basedOn w:val="DefaultParagraphFont"/>
    <w:link w:val="Header"/>
    <w:uiPriority w:val="99"/>
    <w:rsid w:val="00903452"/>
  </w:style>
  <w:style w:type="paragraph" w:styleId="Footer">
    <w:name w:val="footer"/>
    <w:basedOn w:val="Normal"/>
    <w:link w:val="FooterChar"/>
    <w:uiPriority w:val="99"/>
    <w:unhideWhenUsed/>
    <w:rsid w:val="00903452"/>
    <w:pPr>
      <w:tabs>
        <w:tab w:val="center" w:pos="4680"/>
        <w:tab w:val="right" w:pos="9360"/>
      </w:tabs>
      <w:spacing w:after="0"/>
    </w:pPr>
  </w:style>
  <w:style w:type="character" w:customStyle="1" w:styleId="FooterChar">
    <w:name w:val="Footer Char"/>
    <w:basedOn w:val="DefaultParagraphFont"/>
    <w:link w:val="Footer"/>
    <w:uiPriority w:val="99"/>
    <w:rsid w:val="00903452"/>
  </w:style>
  <w:style w:type="paragraph" w:styleId="FootnoteText">
    <w:name w:val="footnote text"/>
    <w:basedOn w:val="Normal"/>
    <w:link w:val="FootnoteTextChar"/>
    <w:uiPriority w:val="99"/>
    <w:rsid w:val="00DA30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302D"/>
    <w:rPr>
      <w:rFonts w:ascii="Times New Roman" w:eastAsia="Times New Roman" w:hAnsi="Times New Roman" w:cs="Times New Roman"/>
      <w:sz w:val="20"/>
      <w:szCs w:val="20"/>
    </w:rPr>
  </w:style>
  <w:style w:type="character" w:styleId="FootnoteReference">
    <w:name w:val="footnote reference"/>
    <w:rsid w:val="00DA302D"/>
    <w:rPr>
      <w:vertAlign w:val="superscript"/>
    </w:rPr>
  </w:style>
  <w:style w:type="paragraph" w:styleId="BalloonText">
    <w:name w:val="Balloon Text"/>
    <w:basedOn w:val="Normal"/>
    <w:link w:val="BalloonTextChar"/>
    <w:uiPriority w:val="99"/>
    <w:semiHidden/>
    <w:unhideWhenUsed/>
    <w:rsid w:val="00136C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0F"/>
    <w:rPr>
      <w:rFonts w:ascii="Tahoma" w:hAnsi="Tahoma" w:cs="Tahoma"/>
      <w:sz w:val="16"/>
      <w:szCs w:val="16"/>
    </w:rPr>
  </w:style>
  <w:style w:type="paragraph" w:styleId="CommentText">
    <w:name w:val="annotation text"/>
    <w:basedOn w:val="Normal"/>
    <w:link w:val="CommentTextChar"/>
    <w:uiPriority w:val="99"/>
    <w:unhideWhenUsed/>
    <w:rsid w:val="00BD1ED0"/>
    <w:rPr>
      <w:sz w:val="20"/>
      <w:szCs w:val="20"/>
    </w:rPr>
  </w:style>
  <w:style w:type="character" w:customStyle="1" w:styleId="CommentTextChar">
    <w:name w:val="Comment Text Char"/>
    <w:basedOn w:val="DefaultParagraphFont"/>
    <w:link w:val="CommentText"/>
    <w:uiPriority w:val="99"/>
    <w:rsid w:val="00BD1ED0"/>
    <w:rPr>
      <w:sz w:val="20"/>
      <w:szCs w:val="20"/>
    </w:rPr>
  </w:style>
  <w:style w:type="character" w:styleId="CommentReference">
    <w:name w:val="annotation reference"/>
    <w:basedOn w:val="DefaultParagraphFont"/>
    <w:uiPriority w:val="99"/>
    <w:semiHidden/>
    <w:unhideWhenUsed/>
    <w:rsid w:val="006B2D2D"/>
    <w:rPr>
      <w:sz w:val="16"/>
      <w:szCs w:val="16"/>
    </w:rPr>
  </w:style>
  <w:style w:type="paragraph" w:styleId="CommentSubject">
    <w:name w:val="annotation subject"/>
    <w:basedOn w:val="CommentText"/>
    <w:next w:val="CommentText"/>
    <w:link w:val="CommentSubjectChar"/>
    <w:uiPriority w:val="99"/>
    <w:semiHidden/>
    <w:unhideWhenUsed/>
    <w:rsid w:val="006B2D2D"/>
    <w:rPr>
      <w:b/>
      <w:bCs/>
    </w:rPr>
  </w:style>
  <w:style w:type="character" w:customStyle="1" w:styleId="CommentSubjectChar">
    <w:name w:val="Comment Subject Char"/>
    <w:basedOn w:val="CommentTextChar"/>
    <w:link w:val="CommentSubject"/>
    <w:uiPriority w:val="99"/>
    <w:semiHidden/>
    <w:rsid w:val="006B2D2D"/>
    <w:rPr>
      <w:b/>
      <w:bCs/>
      <w:sz w:val="20"/>
      <w:szCs w:val="20"/>
    </w:rPr>
  </w:style>
  <w:style w:type="paragraph" w:styleId="NoSpacing">
    <w:name w:val="No Spacing"/>
    <w:uiPriority w:val="1"/>
    <w:qFormat/>
    <w:rsid w:val="00CA4A11"/>
    <w:pPr>
      <w:spacing w:after="0"/>
    </w:pPr>
  </w:style>
  <w:style w:type="paragraph" w:styleId="HTMLPreformatted">
    <w:name w:val="HTML Preformatted"/>
    <w:basedOn w:val="Normal"/>
    <w:link w:val="HTMLPreformattedChar"/>
    <w:uiPriority w:val="99"/>
    <w:unhideWhenUsed/>
    <w:rsid w:val="00ED7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D711A"/>
    <w:rPr>
      <w:rFonts w:ascii="Courier" w:eastAsiaTheme="minorEastAsia" w:hAnsi="Courier" w:cs="Courier"/>
      <w:sz w:val="20"/>
      <w:szCs w:val="20"/>
    </w:rPr>
  </w:style>
  <w:style w:type="character" w:styleId="Emphasis">
    <w:name w:val="Emphasis"/>
    <w:basedOn w:val="DefaultParagraphFont"/>
    <w:uiPriority w:val="20"/>
    <w:qFormat/>
    <w:rsid w:val="00CA4A11"/>
    <w:rPr>
      <w:i/>
      <w:iCs/>
    </w:rPr>
  </w:style>
  <w:style w:type="paragraph" w:styleId="PlainText">
    <w:name w:val="Plain Text"/>
    <w:basedOn w:val="Normal"/>
    <w:link w:val="PlainTextChar"/>
    <w:uiPriority w:val="99"/>
    <w:rsid w:val="00BF3D19"/>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F3D19"/>
    <w:rPr>
      <w:rFonts w:ascii="Courier New" w:eastAsia="Times New Roman" w:hAnsi="Courier New" w:cs="Courier New"/>
      <w:sz w:val="20"/>
      <w:szCs w:val="20"/>
    </w:rPr>
  </w:style>
  <w:style w:type="character" w:styleId="Hyperlink">
    <w:name w:val="Hyperlink"/>
    <w:basedOn w:val="DefaultParagraphFont"/>
    <w:uiPriority w:val="99"/>
    <w:unhideWhenUsed/>
    <w:rsid w:val="00EA7295"/>
    <w:rPr>
      <w:color w:val="0563C1" w:themeColor="hyperlink"/>
      <w:u w:val="single"/>
    </w:rPr>
  </w:style>
  <w:style w:type="paragraph" w:styleId="Revision">
    <w:name w:val="Revision"/>
    <w:hidden/>
    <w:uiPriority w:val="99"/>
    <w:semiHidden/>
    <w:rsid w:val="00237CDD"/>
    <w:pPr>
      <w:spacing w:after="0"/>
    </w:pPr>
  </w:style>
  <w:style w:type="paragraph" w:customStyle="1" w:styleId="Default">
    <w:name w:val="Default"/>
    <w:rsid w:val="00EB6E20"/>
    <w:pPr>
      <w:autoSpaceDE w:val="0"/>
      <w:autoSpaceDN w:val="0"/>
      <w:adjustRightInd w:val="0"/>
      <w:spacing w:after="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A4A1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A4A1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A4A1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A4A1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A4A1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A4A1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A4A1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A4A1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A4A1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A4A11"/>
    <w:rPr>
      <w:b/>
      <w:bCs/>
      <w:smallCaps/>
      <w:color w:val="595959" w:themeColor="text1" w:themeTint="A6"/>
    </w:rPr>
  </w:style>
  <w:style w:type="paragraph" w:styleId="Title">
    <w:name w:val="Title"/>
    <w:basedOn w:val="Normal"/>
    <w:next w:val="Normal"/>
    <w:link w:val="TitleChar"/>
    <w:uiPriority w:val="10"/>
    <w:qFormat/>
    <w:rsid w:val="00CA4A11"/>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A4A1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A4A1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A4A1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A4A11"/>
    <w:rPr>
      <w:b/>
      <w:bCs/>
    </w:rPr>
  </w:style>
  <w:style w:type="paragraph" w:styleId="Quote">
    <w:name w:val="Quote"/>
    <w:basedOn w:val="Normal"/>
    <w:next w:val="Normal"/>
    <w:link w:val="QuoteChar"/>
    <w:uiPriority w:val="29"/>
    <w:qFormat/>
    <w:rsid w:val="00CA4A11"/>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A4A1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A4A11"/>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A4A11"/>
    <w:rPr>
      <w:color w:val="404040" w:themeColor="text1" w:themeTint="BF"/>
      <w:sz w:val="32"/>
      <w:szCs w:val="32"/>
    </w:rPr>
  </w:style>
  <w:style w:type="character" w:styleId="SubtleEmphasis">
    <w:name w:val="Subtle Emphasis"/>
    <w:basedOn w:val="DefaultParagraphFont"/>
    <w:uiPriority w:val="19"/>
    <w:qFormat/>
    <w:rsid w:val="00CA4A11"/>
    <w:rPr>
      <w:i/>
      <w:iCs/>
      <w:color w:val="595959" w:themeColor="text1" w:themeTint="A6"/>
    </w:rPr>
  </w:style>
  <w:style w:type="character" w:styleId="IntenseEmphasis">
    <w:name w:val="Intense Emphasis"/>
    <w:basedOn w:val="DefaultParagraphFont"/>
    <w:uiPriority w:val="21"/>
    <w:qFormat/>
    <w:rsid w:val="00CA4A11"/>
    <w:rPr>
      <w:b/>
      <w:bCs/>
      <w:i/>
      <w:iCs/>
    </w:rPr>
  </w:style>
  <w:style w:type="character" w:styleId="SubtleReference">
    <w:name w:val="Subtle Reference"/>
    <w:basedOn w:val="DefaultParagraphFont"/>
    <w:uiPriority w:val="31"/>
    <w:qFormat/>
    <w:rsid w:val="00CA4A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4A11"/>
    <w:rPr>
      <w:b/>
      <w:bCs/>
      <w:caps w:val="0"/>
      <w:smallCaps/>
      <w:color w:val="auto"/>
      <w:spacing w:val="3"/>
      <w:u w:val="single"/>
    </w:rPr>
  </w:style>
  <w:style w:type="character" w:styleId="BookTitle">
    <w:name w:val="Book Title"/>
    <w:basedOn w:val="DefaultParagraphFont"/>
    <w:uiPriority w:val="33"/>
    <w:qFormat/>
    <w:rsid w:val="00CA4A11"/>
    <w:rPr>
      <w:b/>
      <w:bCs/>
      <w:smallCaps/>
      <w:spacing w:val="7"/>
    </w:rPr>
  </w:style>
  <w:style w:type="paragraph" w:styleId="TOCHeading">
    <w:name w:val="TOC Heading"/>
    <w:basedOn w:val="Heading1"/>
    <w:next w:val="Normal"/>
    <w:uiPriority w:val="39"/>
    <w:semiHidden/>
    <w:unhideWhenUsed/>
    <w:qFormat/>
    <w:rsid w:val="00CA4A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34864">
      <w:bodyDiv w:val="1"/>
      <w:marLeft w:val="0"/>
      <w:marRight w:val="0"/>
      <w:marTop w:val="0"/>
      <w:marBottom w:val="0"/>
      <w:divBdr>
        <w:top w:val="none" w:sz="0" w:space="0" w:color="auto"/>
        <w:left w:val="none" w:sz="0" w:space="0" w:color="auto"/>
        <w:bottom w:val="none" w:sz="0" w:space="0" w:color="auto"/>
        <w:right w:val="none" w:sz="0" w:space="0" w:color="auto"/>
      </w:divBdr>
    </w:div>
    <w:div w:id="348410237">
      <w:bodyDiv w:val="1"/>
      <w:marLeft w:val="0"/>
      <w:marRight w:val="0"/>
      <w:marTop w:val="0"/>
      <w:marBottom w:val="0"/>
      <w:divBdr>
        <w:top w:val="none" w:sz="0" w:space="0" w:color="auto"/>
        <w:left w:val="none" w:sz="0" w:space="0" w:color="auto"/>
        <w:bottom w:val="none" w:sz="0" w:space="0" w:color="auto"/>
        <w:right w:val="none" w:sz="0" w:space="0" w:color="auto"/>
      </w:divBdr>
    </w:div>
    <w:div w:id="453209852">
      <w:bodyDiv w:val="1"/>
      <w:marLeft w:val="0"/>
      <w:marRight w:val="0"/>
      <w:marTop w:val="0"/>
      <w:marBottom w:val="0"/>
      <w:divBdr>
        <w:top w:val="none" w:sz="0" w:space="0" w:color="auto"/>
        <w:left w:val="none" w:sz="0" w:space="0" w:color="auto"/>
        <w:bottom w:val="none" w:sz="0" w:space="0" w:color="auto"/>
        <w:right w:val="none" w:sz="0" w:space="0" w:color="auto"/>
      </w:divBdr>
    </w:div>
    <w:div w:id="569921370">
      <w:bodyDiv w:val="1"/>
      <w:marLeft w:val="0"/>
      <w:marRight w:val="0"/>
      <w:marTop w:val="0"/>
      <w:marBottom w:val="0"/>
      <w:divBdr>
        <w:top w:val="none" w:sz="0" w:space="0" w:color="auto"/>
        <w:left w:val="none" w:sz="0" w:space="0" w:color="auto"/>
        <w:bottom w:val="none" w:sz="0" w:space="0" w:color="auto"/>
        <w:right w:val="none" w:sz="0" w:space="0" w:color="auto"/>
      </w:divBdr>
    </w:div>
    <w:div w:id="764423175">
      <w:bodyDiv w:val="1"/>
      <w:marLeft w:val="0"/>
      <w:marRight w:val="0"/>
      <w:marTop w:val="0"/>
      <w:marBottom w:val="0"/>
      <w:divBdr>
        <w:top w:val="none" w:sz="0" w:space="0" w:color="auto"/>
        <w:left w:val="none" w:sz="0" w:space="0" w:color="auto"/>
        <w:bottom w:val="none" w:sz="0" w:space="0" w:color="auto"/>
        <w:right w:val="none" w:sz="0" w:space="0" w:color="auto"/>
      </w:divBdr>
    </w:div>
    <w:div w:id="809828438">
      <w:bodyDiv w:val="1"/>
      <w:marLeft w:val="0"/>
      <w:marRight w:val="0"/>
      <w:marTop w:val="0"/>
      <w:marBottom w:val="0"/>
      <w:divBdr>
        <w:top w:val="none" w:sz="0" w:space="0" w:color="auto"/>
        <w:left w:val="none" w:sz="0" w:space="0" w:color="auto"/>
        <w:bottom w:val="none" w:sz="0" w:space="0" w:color="auto"/>
        <w:right w:val="none" w:sz="0" w:space="0" w:color="auto"/>
      </w:divBdr>
    </w:div>
    <w:div w:id="20681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UIhWmDP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ssc8mUqUEq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olicy/seclusion/restraints-and-seclusion-resourc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3DC3-673F-4BBE-83C0-286F1659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cortiella</dc:creator>
  <cp:lastModifiedBy>Cindy Smith</cp:lastModifiedBy>
  <cp:revision>4</cp:revision>
  <cp:lastPrinted>2015-06-12T13:41:00Z</cp:lastPrinted>
  <dcterms:created xsi:type="dcterms:W3CDTF">2016-05-18T19:12:00Z</dcterms:created>
  <dcterms:modified xsi:type="dcterms:W3CDTF">2016-05-18T19:31:00Z</dcterms:modified>
</cp:coreProperties>
</file>