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A6EA" w14:textId="77777777" w:rsidR="007606D6" w:rsidRPr="00480E1A" w:rsidRDefault="00EF3236">
      <w:pPr>
        <w:rPr>
          <w:rFonts w:ascii="Arial" w:hAnsi="Arial" w:cs="Arial"/>
          <w:sz w:val="28"/>
          <w:szCs w:val="28"/>
        </w:rPr>
      </w:pPr>
      <w:r w:rsidRPr="00480E1A">
        <w:rPr>
          <w:rStyle w:val="Heading1Char"/>
          <w:rFonts w:ascii="Arial" w:hAnsi="Arial" w:cs="Arial"/>
          <w:sz w:val="28"/>
          <w:szCs w:val="28"/>
          <w:lang w:val="tr-TR"/>
        </w:rPr>
        <w:t>2022-2026 State Plan Development</w:t>
      </w:r>
      <w:r w:rsidRPr="00480E1A">
        <w:rPr>
          <w:rStyle w:val="Heading1Char"/>
          <w:rFonts w:ascii="Arial" w:hAnsi="Arial" w:cs="Arial"/>
          <w:sz w:val="28"/>
          <w:szCs w:val="28"/>
        </w:rPr>
        <w:t xml:space="preserve"> Resource</w:t>
      </w:r>
      <w:r w:rsidRPr="00480E1A">
        <w:rPr>
          <w:rStyle w:val="Heading1Char"/>
          <w:rFonts w:ascii="Arial" w:hAnsi="Arial" w:cs="Arial"/>
          <w:sz w:val="28"/>
          <w:szCs w:val="28"/>
        </w:rPr>
        <w:br/>
      </w:r>
      <w:r w:rsidRPr="00480E1A">
        <w:rPr>
          <w:rStyle w:val="Heading2Char"/>
          <w:rFonts w:ascii="Arial" w:hAnsi="Arial" w:cs="Arial"/>
          <w:sz w:val="28"/>
          <w:szCs w:val="28"/>
        </w:rPr>
        <w:t>With additional resources to support the Comprehensive Review and Analysis</w:t>
      </w:r>
    </w:p>
    <w:p w14:paraId="1614261E" w14:textId="77777777" w:rsidR="00EF3236" w:rsidRPr="00480E1A" w:rsidRDefault="00EF3236" w:rsidP="00EF3236">
      <w:pPr>
        <w:rPr>
          <w:rFonts w:ascii="Arial" w:hAnsi="Arial" w:cs="Arial"/>
          <w:sz w:val="28"/>
          <w:szCs w:val="28"/>
        </w:rPr>
      </w:pPr>
      <w:r w:rsidRPr="00480E1A">
        <w:rPr>
          <w:rFonts w:ascii="Arial" w:hAnsi="Arial" w:cs="Arial"/>
          <w:b/>
          <w:bCs/>
          <w:sz w:val="28"/>
          <w:szCs w:val="28"/>
          <w:u w:val="single"/>
        </w:rPr>
        <w:t>Agenda</w:t>
      </w:r>
    </w:p>
    <w:p w14:paraId="1E070ED6" w14:textId="77777777" w:rsidR="00A115D7" w:rsidRPr="00480E1A" w:rsidRDefault="00480E1A" w:rsidP="00EF3236">
      <w:pPr>
        <w:numPr>
          <w:ilvl w:val="0"/>
          <w:numId w:val="1"/>
        </w:numPr>
        <w:rPr>
          <w:rFonts w:ascii="Arial" w:hAnsi="Arial" w:cs="Arial"/>
          <w:sz w:val="28"/>
          <w:szCs w:val="28"/>
        </w:rPr>
      </w:pPr>
      <w:r w:rsidRPr="00480E1A">
        <w:rPr>
          <w:rFonts w:ascii="Arial" w:hAnsi="Arial" w:cs="Arial"/>
          <w:sz w:val="28"/>
          <w:szCs w:val="28"/>
        </w:rPr>
        <w:t>Review the layout of the guide to understand how to find the information you need. </w:t>
      </w:r>
    </w:p>
    <w:p w14:paraId="0FD0FB97" w14:textId="77777777" w:rsidR="00A115D7" w:rsidRPr="00480E1A" w:rsidRDefault="00480E1A" w:rsidP="00EF3236">
      <w:pPr>
        <w:numPr>
          <w:ilvl w:val="0"/>
          <w:numId w:val="1"/>
        </w:numPr>
        <w:rPr>
          <w:rFonts w:ascii="Arial" w:hAnsi="Arial" w:cs="Arial"/>
          <w:sz w:val="28"/>
          <w:szCs w:val="28"/>
        </w:rPr>
      </w:pPr>
      <w:r w:rsidRPr="00480E1A">
        <w:rPr>
          <w:rFonts w:ascii="Arial" w:hAnsi="Arial" w:cs="Arial"/>
          <w:sz w:val="28"/>
          <w:szCs w:val="28"/>
        </w:rPr>
        <w:t>Review additional resources to inform the Council's Comprehensive Review and Analysis section. (CRA) </w:t>
      </w:r>
    </w:p>
    <w:p w14:paraId="5F508D25" w14:textId="77777777" w:rsidR="00EF3236" w:rsidRPr="00480E1A" w:rsidRDefault="00EF3236" w:rsidP="00EF3236">
      <w:pPr>
        <w:pStyle w:val="Heading1"/>
        <w:rPr>
          <w:rFonts w:ascii="Arial" w:hAnsi="Arial" w:cs="Arial"/>
          <w:sz w:val="28"/>
          <w:szCs w:val="28"/>
        </w:rPr>
      </w:pPr>
      <w:r w:rsidRPr="00480E1A">
        <w:rPr>
          <w:rFonts w:ascii="Arial" w:hAnsi="Arial" w:cs="Arial"/>
          <w:sz w:val="28"/>
          <w:szCs w:val="28"/>
        </w:rPr>
        <w:t>Color Coded Section Headers to Organize Content</w:t>
      </w:r>
    </w:p>
    <w:p w14:paraId="3043B49C" w14:textId="77777777" w:rsidR="00EF3236" w:rsidRPr="00480E1A" w:rsidRDefault="00EF3236" w:rsidP="00EF3236">
      <w:pPr>
        <w:rPr>
          <w:rFonts w:ascii="Arial" w:hAnsi="Arial" w:cs="Arial"/>
          <w:sz w:val="28"/>
          <w:szCs w:val="28"/>
        </w:rPr>
      </w:pPr>
      <w:r w:rsidRPr="00480E1A">
        <w:rPr>
          <w:rFonts w:ascii="Arial" w:hAnsi="Arial" w:cs="Arial"/>
          <w:sz w:val="28"/>
          <w:szCs w:val="28"/>
        </w:rPr>
        <w:t xml:space="preserve">The guide is a combination of Developmental Disabilities Assistance and Bill of Rights Act content (DD Act), guidance on developing the state plan, resource links and examples. Three sections of the guide are </w:t>
      </w:r>
      <w:r w:rsidR="008D0AF0" w:rsidRPr="00480E1A">
        <w:rPr>
          <w:rFonts w:ascii="Arial" w:hAnsi="Arial" w:cs="Arial"/>
          <w:sz w:val="28"/>
          <w:szCs w:val="28"/>
        </w:rPr>
        <w:t>color-coded</w:t>
      </w:r>
      <w:r w:rsidRPr="00480E1A">
        <w:rPr>
          <w:rFonts w:ascii="Arial" w:hAnsi="Arial" w:cs="Arial"/>
          <w:sz w:val="28"/>
          <w:szCs w:val="28"/>
        </w:rPr>
        <w:t xml:space="preserve">. The DD Act content is marked with an orange header, guidance is in blue and information about the state plan assurances has a purple header. </w:t>
      </w:r>
    </w:p>
    <w:p w14:paraId="30749B4A" w14:textId="77777777" w:rsidR="008D0AF0" w:rsidRPr="008D0AF0" w:rsidRDefault="008D0AF0" w:rsidP="008D0AF0">
      <w:pPr>
        <w:rPr>
          <w:rFonts w:ascii="Arial" w:hAnsi="Arial" w:cs="Arial"/>
          <w:sz w:val="28"/>
          <w:szCs w:val="28"/>
        </w:rPr>
      </w:pPr>
      <w:r w:rsidRPr="008D0AF0">
        <w:rPr>
          <w:rFonts w:ascii="Arial" w:hAnsi="Arial" w:cs="Arial"/>
          <w:sz w:val="28"/>
          <w:szCs w:val="28"/>
        </w:rPr>
        <w:t xml:space="preserve">To find out more information, there are green “find out more” icons throughout the guide that will direct you to either another section of the document or an outside source…for more information. </w:t>
      </w:r>
    </w:p>
    <w:p w14:paraId="04763ED4" w14:textId="77777777" w:rsidR="00EF3236" w:rsidRPr="00480E1A" w:rsidRDefault="00EF3236" w:rsidP="00EF3236">
      <w:pPr>
        <w:pStyle w:val="Heading1"/>
        <w:rPr>
          <w:rFonts w:ascii="Arial" w:hAnsi="Arial" w:cs="Arial"/>
          <w:sz w:val="28"/>
          <w:szCs w:val="28"/>
        </w:rPr>
      </w:pPr>
      <w:r w:rsidRPr="00480E1A">
        <w:rPr>
          <w:rFonts w:ascii="Arial" w:hAnsi="Arial" w:cs="Arial"/>
          <w:sz w:val="28"/>
          <w:szCs w:val="28"/>
        </w:rPr>
        <w:t>Table of Contents</w:t>
      </w:r>
    </w:p>
    <w:p w14:paraId="4754EF6E" w14:textId="77777777" w:rsidR="00EF3236" w:rsidRPr="00480E1A" w:rsidRDefault="00EF3236" w:rsidP="00EF3236">
      <w:pPr>
        <w:rPr>
          <w:rFonts w:ascii="Arial" w:hAnsi="Arial" w:cs="Arial"/>
          <w:sz w:val="28"/>
          <w:szCs w:val="28"/>
        </w:rPr>
      </w:pPr>
      <w:r w:rsidRPr="00480E1A">
        <w:rPr>
          <w:rFonts w:ascii="Arial" w:hAnsi="Arial" w:cs="Arial"/>
          <w:sz w:val="28"/>
          <w:szCs w:val="28"/>
        </w:rPr>
        <w:t>What does the DD Act Say?</w:t>
      </w:r>
    </w:p>
    <w:p w14:paraId="20723371" w14:textId="77777777" w:rsidR="00EF3236" w:rsidRPr="00480E1A" w:rsidRDefault="00407E38" w:rsidP="00EF3236">
      <w:pPr>
        <w:rPr>
          <w:rFonts w:ascii="Arial" w:hAnsi="Arial" w:cs="Arial"/>
          <w:sz w:val="28"/>
          <w:szCs w:val="28"/>
        </w:rPr>
      </w:pPr>
      <w:r>
        <w:rPr>
          <w:rFonts w:ascii="Arial" w:hAnsi="Arial" w:cs="Arial"/>
          <w:sz w:val="28"/>
          <w:szCs w:val="28"/>
        </w:rPr>
        <w:t xml:space="preserve">Developing the State Plan, </w:t>
      </w:r>
      <w:r w:rsidR="00EF3236" w:rsidRPr="00480E1A">
        <w:rPr>
          <w:rFonts w:ascii="Arial" w:hAnsi="Arial" w:cs="Arial"/>
          <w:sz w:val="28"/>
          <w:szCs w:val="28"/>
        </w:rPr>
        <w:t>with Steps 1-6</w:t>
      </w:r>
    </w:p>
    <w:p w14:paraId="582C3FC7" w14:textId="77777777" w:rsidR="00EF3236" w:rsidRPr="00480E1A" w:rsidRDefault="00EF3236" w:rsidP="00EF3236">
      <w:pPr>
        <w:rPr>
          <w:rFonts w:ascii="Arial" w:hAnsi="Arial" w:cs="Arial"/>
          <w:sz w:val="28"/>
          <w:szCs w:val="28"/>
        </w:rPr>
      </w:pPr>
      <w:r w:rsidRPr="00480E1A">
        <w:rPr>
          <w:rFonts w:ascii="Arial" w:hAnsi="Arial" w:cs="Arial"/>
          <w:sz w:val="28"/>
          <w:szCs w:val="28"/>
        </w:rPr>
        <w:t>Step 1) Generating a Timeline and Reviewing Progress</w:t>
      </w:r>
    </w:p>
    <w:p w14:paraId="3497AB4E" w14:textId="77777777" w:rsidR="00EF3236" w:rsidRPr="00480E1A" w:rsidRDefault="00EF3236" w:rsidP="00EF3236">
      <w:pPr>
        <w:rPr>
          <w:rFonts w:ascii="Arial" w:hAnsi="Arial" w:cs="Arial"/>
          <w:sz w:val="28"/>
          <w:szCs w:val="28"/>
        </w:rPr>
      </w:pPr>
      <w:r w:rsidRPr="00480E1A">
        <w:rPr>
          <w:rFonts w:ascii="Arial" w:hAnsi="Arial" w:cs="Arial"/>
          <w:sz w:val="28"/>
          <w:szCs w:val="28"/>
        </w:rPr>
        <w:t>Introduction</w:t>
      </w:r>
    </w:p>
    <w:p w14:paraId="3993AC66" w14:textId="77777777" w:rsidR="00EF3236" w:rsidRPr="00480E1A" w:rsidRDefault="00EF3236" w:rsidP="00EF3236">
      <w:pPr>
        <w:rPr>
          <w:rFonts w:ascii="Arial" w:hAnsi="Arial" w:cs="Arial"/>
          <w:sz w:val="28"/>
          <w:szCs w:val="28"/>
        </w:rPr>
      </w:pPr>
      <w:r w:rsidRPr="00480E1A">
        <w:rPr>
          <w:rFonts w:ascii="Arial" w:hAnsi="Arial" w:cs="Arial"/>
          <w:sz w:val="28"/>
          <w:szCs w:val="28"/>
        </w:rPr>
        <w:t>Step 3) Developing the Plan by Envisioning the Future</w:t>
      </w:r>
    </w:p>
    <w:p w14:paraId="71498F75" w14:textId="77777777" w:rsidR="00EF3236" w:rsidRPr="00480E1A" w:rsidRDefault="00EF3236" w:rsidP="00EF3236">
      <w:pPr>
        <w:rPr>
          <w:rFonts w:ascii="Arial" w:hAnsi="Arial" w:cs="Arial"/>
          <w:sz w:val="28"/>
          <w:szCs w:val="28"/>
        </w:rPr>
      </w:pPr>
      <w:r w:rsidRPr="00480E1A">
        <w:rPr>
          <w:rFonts w:ascii="Arial" w:hAnsi="Arial" w:cs="Arial"/>
          <w:sz w:val="28"/>
          <w:szCs w:val="28"/>
        </w:rPr>
        <w:t xml:space="preserve">Step 4) Developing the Evaluation Plan </w:t>
      </w:r>
    </w:p>
    <w:p w14:paraId="2E116381" w14:textId="77777777" w:rsidR="00EF3236" w:rsidRPr="00480E1A" w:rsidRDefault="00EF3236" w:rsidP="00EF3236">
      <w:pPr>
        <w:rPr>
          <w:rFonts w:ascii="Arial" w:hAnsi="Arial" w:cs="Arial"/>
          <w:sz w:val="28"/>
          <w:szCs w:val="28"/>
        </w:rPr>
      </w:pPr>
      <w:r w:rsidRPr="00480E1A">
        <w:rPr>
          <w:rFonts w:ascii="Arial" w:hAnsi="Arial" w:cs="Arial"/>
          <w:sz w:val="28"/>
          <w:szCs w:val="28"/>
        </w:rPr>
        <w:t>Step 5) Public Review</w:t>
      </w:r>
    </w:p>
    <w:p w14:paraId="6C232A32" w14:textId="77777777" w:rsidR="00EF3236" w:rsidRPr="00480E1A" w:rsidRDefault="00EF3236" w:rsidP="00EF3236">
      <w:pPr>
        <w:rPr>
          <w:rFonts w:ascii="Arial" w:hAnsi="Arial" w:cs="Arial"/>
          <w:sz w:val="28"/>
          <w:szCs w:val="28"/>
        </w:rPr>
      </w:pPr>
      <w:r w:rsidRPr="00480E1A">
        <w:rPr>
          <w:rFonts w:ascii="Arial" w:hAnsi="Arial" w:cs="Arial"/>
          <w:sz w:val="28"/>
          <w:szCs w:val="28"/>
        </w:rPr>
        <w:t>Step 6) Budget</w:t>
      </w:r>
    </w:p>
    <w:p w14:paraId="1C16B44E" w14:textId="77777777" w:rsidR="00EF3236" w:rsidRPr="00480E1A" w:rsidRDefault="00EF3236" w:rsidP="00EF3236">
      <w:pPr>
        <w:rPr>
          <w:rFonts w:ascii="Arial" w:hAnsi="Arial" w:cs="Arial"/>
          <w:sz w:val="28"/>
          <w:szCs w:val="28"/>
        </w:rPr>
      </w:pPr>
      <w:r w:rsidRPr="00480E1A">
        <w:rPr>
          <w:rFonts w:ascii="Arial" w:hAnsi="Arial" w:cs="Arial"/>
          <w:sz w:val="28"/>
          <w:szCs w:val="28"/>
        </w:rPr>
        <w:t xml:space="preserve">Assurances </w:t>
      </w:r>
    </w:p>
    <w:p w14:paraId="2E0FDCCB" w14:textId="77777777" w:rsidR="00EF3236" w:rsidRPr="00480E1A" w:rsidRDefault="00EF3236" w:rsidP="00EF3236">
      <w:pPr>
        <w:rPr>
          <w:rFonts w:ascii="Arial" w:hAnsi="Arial" w:cs="Arial"/>
          <w:sz w:val="28"/>
          <w:szCs w:val="28"/>
        </w:rPr>
      </w:pPr>
      <w:r w:rsidRPr="00480E1A">
        <w:rPr>
          <w:rFonts w:ascii="Arial" w:hAnsi="Arial" w:cs="Arial"/>
          <w:sz w:val="28"/>
          <w:szCs w:val="28"/>
        </w:rPr>
        <w:t>Appendices</w:t>
      </w:r>
    </w:p>
    <w:p w14:paraId="31962406" w14:textId="77777777" w:rsidR="00407E38" w:rsidRPr="00407E38" w:rsidRDefault="00407E38" w:rsidP="00407E38">
      <w:pPr>
        <w:rPr>
          <w:rFonts w:ascii="Arial" w:hAnsi="Arial" w:cs="Arial"/>
          <w:sz w:val="28"/>
          <w:szCs w:val="28"/>
        </w:rPr>
      </w:pPr>
      <w:r w:rsidRPr="00407E38">
        <w:rPr>
          <w:rFonts w:ascii="Arial" w:hAnsi="Arial" w:cs="Arial"/>
          <w:sz w:val="28"/>
          <w:szCs w:val="28"/>
        </w:rPr>
        <w:lastRenderedPageBreak/>
        <w:t>The table of contents includes an introduction section, “What doe</w:t>
      </w:r>
      <w:r>
        <w:rPr>
          <w:rFonts w:ascii="Arial" w:hAnsi="Arial" w:cs="Arial"/>
          <w:sz w:val="28"/>
          <w:szCs w:val="28"/>
        </w:rPr>
        <w:t>s</w:t>
      </w:r>
      <w:r w:rsidRPr="00407E38">
        <w:rPr>
          <w:rFonts w:ascii="Arial" w:hAnsi="Arial" w:cs="Arial"/>
          <w:sz w:val="28"/>
          <w:szCs w:val="28"/>
        </w:rPr>
        <w:t xml:space="preserve"> the DD Act Say?” which will be outlined in orange. A Developing the State Plan section that includes six steps. Step 1) Generating a Timeline and Reviewing Progress includes two timelines and some basic information about assessing progress on the current </w:t>
      </w:r>
      <w:r w:rsidR="008D0AF0" w:rsidRPr="00407E38">
        <w:rPr>
          <w:rFonts w:ascii="Arial" w:hAnsi="Arial" w:cs="Arial"/>
          <w:sz w:val="28"/>
          <w:szCs w:val="28"/>
        </w:rPr>
        <w:t>five-year</w:t>
      </w:r>
      <w:r w:rsidRPr="00407E38">
        <w:rPr>
          <w:rFonts w:ascii="Arial" w:hAnsi="Arial" w:cs="Arial"/>
          <w:sz w:val="28"/>
          <w:szCs w:val="28"/>
        </w:rPr>
        <w:t xml:space="preserve"> state plan. Step 2) Data Collection and Analysis includes, Tips for Collecting Data, Review of Inter-agency Initiatives, Determining un-served and under-served populations, Collaboration, DD Council Member Involvement, Data Analysis and Presentation to Council Members. Step 3) Developing the Plan by Envisioning the Future includes, Strategies for Developing the Plan, and Prioritizing and Developing the Goals.  Step 4) Developing the Evaluation Plan includes, DD Act requirements with regard to the DD Council Annual Report and the types of information that should be included as part of the DD Council's evaluation plan for measuring progress on goals. Step 5) Public Review, includes the process that Councils engage in to ensure citizens of each State and Territory have the opportunity to review and comment on the draft State plan. Step 6) Budget, includes DD Act information related to the budget and tips for filling out the proposed budget for the state plan. The final sections include the assurances and appendices. Remember – the appendices will include additional information on steps for developing the plan. </w:t>
      </w:r>
    </w:p>
    <w:p w14:paraId="67F0D092" w14:textId="77777777" w:rsidR="00407E38" w:rsidRDefault="00407E38" w:rsidP="00EF3236">
      <w:pPr>
        <w:pStyle w:val="Heading1"/>
        <w:rPr>
          <w:rFonts w:ascii="Arial" w:hAnsi="Arial" w:cs="Arial"/>
          <w:sz w:val="28"/>
          <w:szCs w:val="28"/>
        </w:rPr>
      </w:pPr>
    </w:p>
    <w:p w14:paraId="1C7E5B71" w14:textId="77777777" w:rsidR="00EF3236" w:rsidRPr="00480E1A" w:rsidRDefault="00EF3236" w:rsidP="00EF3236">
      <w:pPr>
        <w:pStyle w:val="Heading1"/>
        <w:rPr>
          <w:rFonts w:ascii="Arial" w:hAnsi="Arial" w:cs="Arial"/>
          <w:sz w:val="28"/>
          <w:szCs w:val="28"/>
        </w:rPr>
      </w:pPr>
      <w:r w:rsidRPr="00480E1A">
        <w:rPr>
          <w:rFonts w:ascii="Arial" w:hAnsi="Arial" w:cs="Arial"/>
          <w:sz w:val="28"/>
          <w:szCs w:val="28"/>
        </w:rPr>
        <w:t xml:space="preserve">Appendices Include </w:t>
      </w:r>
    </w:p>
    <w:p w14:paraId="3686AED4" w14:textId="77777777" w:rsidR="00407E38" w:rsidRPr="00407E38" w:rsidRDefault="00407E38" w:rsidP="00407E38">
      <w:pPr>
        <w:rPr>
          <w:rFonts w:ascii="Arial" w:hAnsi="Arial" w:cs="Arial"/>
          <w:sz w:val="28"/>
          <w:szCs w:val="28"/>
        </w:rPr>
      </w:pPr>
      <w:r w:rsidRPr="00407E38">
        <w:rPr>
          <w:rFonts w:ascii="Arial" w:hAnsi="Arial" w:cs="Arial"/>
          <w:sz w:val="28"/>
          <w:szCs w:val="28"/>
          <w:u w:val="single"/>
        </w:rPr>
        <w:t>Appendix A:</w:t>
      </w:r>
      <w:r w:rsidRPr="00407E38">
        <w:rPr>
          <w:rFonts w:ascii="Arial" w:hAnsi="Arial" w:cs="Arial"/>
          <w:sz w:val="28"/>
          <w:szCs w:val="28"/>
        </w:rPr>
        <w:t xml:space="preserve"> Planning Tips and Information</w:t>
      </w:r>
    </w:p>
    <w:p w14:paraId="67EDDE5E" w14:textId="77777777" w:rsidR="00407E38" w:rsidRPr="00407E38" w:rsidRDefault="00407E38" w:rsidP="00407E38">
      <w:pPr>
        <w:rPr>
          <w:rFonts w:ascii="Arial" w:hAnsi="Arial" w:cs="Arial"/>
          <w:sz w:val="28"/>
          <w:szCs w:val="28"/>
        </w:rPr>
      </w:pPr>
      <w:r w:rsidRPr="00407E38">
        <w:rPr>
          <w:rFonts w:ascii="Arial" w:hAnsi="Arial" w:cs="Arial"/>
          <w:sz w:val="28"/>
          <w:szCs w:val="28"/>
          <w:u w:val="single"/>
        </w:rPr>
        <w:t>Appendix B:</w:t>
      </w:r>
      <w:r w:rsidRPr="00407E38">
        <w:rPr>
          <w:rFonts w:ascii="Arial" w:hAnsi="Arial" w:cs="Arial"/>
          <w:sz w:val="28"/>
          <w:szCs w:val="28"/>
        </w:rPr>
        <w:t xml:space="preserve"> DD Prevalence</w:t>
      </w:r>
    </w:p>
    <w:p w14:paraId="2B78B6CF" w14:textId="77777777" w:rsidR="00407E38" w:rsidRPr="00407E38" w:rsidRDefault="00407E38" w:rsidP="00407E38">
      <w:pPr>
        <w:rPr>
          <w:rFonts w:ascii="Arial" w:hAnsi="Arial" w:cs="Arial"/>
          <w:sz w:val="28"/>
          <w:szCs w:val="28"/>
        </w:rPr>
      </w:pPr>
      <w:r w:rsidRPr="00407E38">
        <w:rPr>
          <w:rFonts w:ascii="Arial" w:hAnsi="Arial" w:cs="Arial"/>
          <w:sz w:val="28"/>
          <w:szCs w:val="28"/>
          <w:u w:val="single"/>
        </w:rPr>
        <w:t xml:space="preserve">Appendix C: </w:t>
      </w:r>
      <w:r w:rsidRPr="00407E38">
        <w:rPr>
          <w:rFonts w:ascii="Arial" w:hAnsi="Arial" w:cs="Arial"/>
          <w:sz w:val="28"/>
          <w:szCs w:val="28"/>
        </w:rPr>
        <w:t>Comprehensive Rev. &amp; Analysis/General Resources</w:t>
      </w:r>
    </w:p>
    <w:p w14:paraId="5109E3F0" w14:textId="77777777" w:rsidR="00407E38" w:rsidRPr="00407E38" w:rsidRDefault="00407E38" w:rsidP="00407E38">
      <w:pPr>
        <w:rPr>
          <w:rFonts w:ascii="Arial" w:hAnsi="Arial" w:cs="Arial"/>
          <w:sz w:val="28"/>
          <w:szCs w:val="28"/>
        </w:rPr>
      </w:pPr>
      <w:r w:rsidRPr="00407E38">
        <w:rPr>
          <w:rFonts w:ascii="Arial" w:hAnsi="Arial" w:cs="Arial"/>
          <w:sz w:val="28"/>
          <w:szCs w:val="28"/>
          <w:u w:val="single"/>
        </w:rPr>
        <w:t>Appendix D:</w:t>
      </w:r>
      <w:r w:rsidRPr="00407E38">
        <w:rPr>
          <w:rFonts w:ascii="Arial" w:hAnsi="Arial" w:cs="Arial"/>
          <w:sz w:val="28"/>
          <w:szCs w:val="28"/>
        </w:rPr>
        <w:t xml:space="preserve"> Goals, Objectives and Outcomes with Examples</w:t>
      </w:r>
    </w:p>
    <w:p w14:paraId="037A45A2" w14:textId="77777777" w:rsidR="00407E38" w:rsidRPr="00407E38" w:rsidRDefault="00407E38" w:rsidP="00407E38">
      <w:pPr>
        <w:rPr>
          <w:rFonts w:ascii="Arial" w:hAnsi="Arial" w:cs="Arial"/>
          <w:sz w:val="28"/>
          <w:szCs w:val="28"/>
        </w:rPr>
      </w:pPr>
      <w:r w:rsidRPr="00407E38">
        <w:rPr>
          <w:rFonts w:ascii="Arial" w:hAnsi="Arial" w:cs="Arial"/>
          <w:sz w:val="28"/>
          <w:szCs w:val="28"/>
          <w:u w:val="single"/>
        </w:rPr>
        <w:t>Appendix E:</w:t>
      </w:r>
      <w:r w:rsidRPr="00407E38">
        <w:rPr>
          <w:rFonts w:ascii="Arial" w:hAnsi="Arial" w:cs="Arial"/>
          <w:sz w:val="28"/>
          <w:szCs w:val="28"/>
        </w:rPr>
        <w:t xml:space="preserve"> Logic Models and Evaluation</w:t>
      </w:r>
    </w:p>
    <w:p w14:paraId="04CE0A5B" w14:textId="77777777" w:rsidR="00407E38" w:rsidRPr="00407E38" w:rsidRDefault="00407E38" w:rsidP="00407E38">
      <w:pPr>
        <w:rPr>
          <w:rFonts w:ascii="Arial" w:hAnsi="Arial" w:cs="Arial"/>
          <w:sz w:val="28"/>
          <w:szCs w:val="28"/>
        </w:rPr>
      </w:pPr>
      <w:r w:rsidRPr="00407E38">
        <w:rPr>
          <w:rFonts w:ascii="Arial" w:hAnsi="Arial" w:cs="Arial"/>
          <w:sz w:val="28"/>
          <w:szCs w:val="28"/>
          <w:u w:val="single"/>
        </w:rPr>
        <w:t xml:space="preserve">Appendix </w:t>
      </w:r>
      <w:r w:rsidRPr="00407E38">
        <w:rPr>
          <w:rFonts w:ascii="Arial" w:hAnsi="Arial" w:cs="Arial"/>
          <w:sz w:val="28"/>
          <w:szCs w:val="28"/>
        </w:rPr>
        <w:t>F: How to calculate a Rate (per 100,000) formula</w:t>
      </w:r>
    </w:p>
    <w:p w14:paraId="6F7008DE" w14:textId="77777777" w:rsidR="00407E38" w:rsidRPr="00407E38" w:rsidRDefault="00407E38" w:rsidP="00407E38">
      <w:pPr>
        <w:rPr>
          <w:rFonts w:ascii="Arial" w:hAnsi="Arial" w:cs="Arial"/>
          <w:sz w:val="28"/>
          <w:szCs w:val="28"/>
        </w:rPr>
      </w:pPr>
      <w:r w:rsidRPr="00407E38">
        <w:rPr>
          <w:rFonts w:ascii="Arial" w:hAnsi="Arial" w:cs="Arial"/>
          <w:sz w:val="28"/>
          <w:szCs w:val="28"/>
        </w:rPr>
        <w:t xml:space="preserve">The Appendix A-F includes additional information and resources with regard to, Planning Tips and Information, DD Prevalence, Comprehensive Rev. &amp; Analysis/General Resources, Goals, Objectives and Outcomes with Examples, Logic Models and Evaluation plans with examples, and the How to calculate a Rate (per 100,000) formula. </w:t>
      </w:r>
    </w:p>
    <w:p w14:paraId="38111540" w14:textId="3AB5574A" w:rsidR="00407E38" w:rsidRPr="00407E38" w:rsidRDefault="00407E38" w:rsidP="00407E38">
      <w:pPr>
        <w:rPr>
          <w:rFonts w:ascii="Arial" w:hAnsi="Arial" w:cs="Arial"/>
          <w:sz w:val="28"/>
          <w:szCs w:val="28"/>
        </w:rPr>
      </w:pPr>
      <w:r w:rsidRPr="00407E38">
        <w:rPr>
          <w:rFonts w:ascii="Arial" w:hAnsi="Arial" w:cs="Arial"/>
          <w:sz w:val="28"/>
          <w:szCs w:val="28"/>
        </w:rPr>
        <w:t>Next</w:t>
      </w:r>
      <w:r w:rsidR="00C25FE1">
        <w:rPr>
          <w:rFonts w:ascii="Arial" w:hAnsi="Arial" w:cs="Arial"/>
          <w:sz w:val="28"/>
          <w:szCs w:val="28"/>
        </w:rPr>
        <w:t>,</w:t>
      </w:r>
      <w:r w:rsidRPr="00407E38">
        <w:rPr>
          <w:rFonts w:ascii="Arial" w:hAnsi="Arial" w:cs="Arial"/>
          <w:sz w:val="28"/>
          <w:szCs w:val="28"/>
        </w:rPr>
        <w:t xml:space="preserve"> we will review in more detail how the resources in the CRA section are divided.  </w:t>
      </w:r>
    </w:p>
    <w:p w14:paraId="0269019C" w14:textId="77777777" w:rsidR="00EF3236" w:rsidRPr="00480E1A" w:rsidRDefault="00EF3236" w:rsidP="00EF3236">
      <w:pPr>
        <w:pStyle w:val="Heading1"/>
        <w:rPr>
          <w:rFonts w:ascii="Arial" w:hAnsi="Arial" w:cs="Arial"/>
          <w:sz w:val="28"/>
          <w:szCs w:val="28"/>
        </w:rPr>
      </w:pPr>
      <w:r w:rsidRPr="00480E1A">
        <w:rPr>
          <w:rFonts w:ascii="Arial" w:hAnsi="Arial" w:cs="Arial"/>
          <w:sz w:val="28"/>
          <w:szCs w:val="28"/>
        </w:rPr>
        <w:t>CRA Resources broken down in the guide</w:t>
      </w:r>
    </w:p>
    <w:p w14:paraId="116F6A7B" w14:textId="77777777" w:rsidR="00EF3236" w:rsidRPr="00480E1A" w:rsidRDefault="00EF3236" w:rsidP="00EF3236">
      <w:pPr>
        <w:rPr>
          <w:rFonts w:ascii="Arial" w:hAnsi="Arial" w:cs="Arial"/>
          <w:sz w:val="28"/>
          <w:szCs w:val="28"/>
        </w:rPr>
      </w:pPr>
      <w:r w:rsidRPr="00480E1A">
        <w:rPr>
          <w:rFonts w:ascii="Arial" w:hAnsi="Arial" w:cs="Arial"/>
          <w:sz w:val="28"/>
          <w:szCs w:val="28"/>
        </w:rPr>
        <w:t xml:space="preserve">(Appendix B) </w:t>
      </w:r>
      <w:r w:rsidRPr="00480E1A">
        <w:rPr>
          <w:rFonts w:ascii="Arial" w:hAnsi="Arial" w:cs="Arial"/>
          <w:sz w:val="28"/>
          <w:szCs w:val="28"/>
        </w:rPr>
        <w:br/>
        <w:t>DD PREVALENCE RATE AND CRA:</w:t>
      </w:r>
      <w:r w:rsidRPr="00480E1A">
        <w:rPr>
          <w:rFonts w:ascii="Arial" w:hAnsi="Arial" w:cs="Arial"/>
          <w:sz w:val="28"/>
          <w:szCs w:val="28"/>
        </w:rPr>
        <w:br/>
        <w:t>State information, state disability characteristics &amp; demographic information</w:t>
      </w:r>
    </w:p>
    <w:p w14:paraId="7A54BBFC" w14:textId="77777777" w:rsidR="00EF3236" w:rsidRPr="00480E1A" w:rsidRDefault="00EF3236" w:rsidP="00EF3236">
      <w:pPr>
        <w:rPr>
          <w:rFonts w:ascii="Arial" w:hAnsi="Arial" w:cs="Arial"/>
          <w:sz w:val="28"/>
          <w:szCs w:val="28"/>
        </w:rPr>
      </w:pPr>
      <w:r w:rsidRPr="00480E1A">
        <w:rPr>
          <w:rFonts w:ascii="Arial" w:hAnsi="Arial" w:cs="Arial"/>
          <w:sz w:val="28"/>
          <w:szCs w:val="28"/>
        </w:rPr>
        <w:t>TERRITORY SPECIFIC DATA</w:t>
      </w:r>
    </w:p>
    <w:p w14:paraId="1FBCB872" w14:textId="77777777" w:rsidR="00EF3236" w:rsidRPr="00480E1A" w:rsidRDefault="00EF3236" w:rsidP="00EF3236">
      <w:pPr>
        <w:rPr>
          <w:rFonts w:ascii="Arial" w:hAnsi="Arial" w:cs="Arial"/>
          <w:sz w:val="28"/>
          <w:szCs w:val="28"/>
        </w:rPr>
      </w:pPr>
      <w:r w:rsidRPr="00480E1A">
        <w:rPr>
          <w:rFonts w:ascii="Arial" w:hAnsi="Arial" w:cs="Arial"/>
          <w:sz w:val="28"/>
          <w:szCs w:val="28"/>
        </w:rPr>
        <w:t xml:space="preserve">GENERAL RESOURCES TO INFORM THE CRA: </w:t>
      </w:r>
      <w:r w:rsidRPr="00480E1A">
        <w:rPr>
          <w:rFonts w:ascii="Arial" w:hAnsi="Arial" w:cs="Arial"/>
          <w:sz w:val="28"/>
          <w:szCs w:val="28"/>
        </w:rPr>
        <w:br/>
        <w:t xml:space="preserve">Full list of resources for the overall CRA </w:t>
      </w:r>
    </w:p>
    <w:p w14:paraId="25FCB7AB" w14:textId="77777777" w:rsidR="00EF3236" w:rsidRPr="00480E1A" w:rsidRDefault="00EF3236" w:rsidP="00EF3236">
      <w:pPr>
        <w:rPr>
          <w:rFonts w:ascii="Arial" w:hAnsi="Arial" w:cs="Arial"/>
          <w:sz w:val="28"/>
          <w:szCs w:val="28"/>
        </w:rPr>
      </w:pPr>
      <w:r w:rsidRPr="00480E1A">
        <w:rPr>
          <w:rFonts w:ascii="Arial" w:hAnsi="Arial" w:cs="Arial"/>
          <w:sz w:val="28"/>
          <w:szCs w:val="28"/>
        </w:rPr>
        <w:t xml:space="preserve">(Appendix C) </w:t>
      </w:r>
      <w:r w:rsidRPr="00480E1A">
        <w:rPr>
          <w:rFonts w:ascii="Arial" w:hAnsi="Arial" w:cs="Arial"/>
          <w:sz w:val="28"/>
          <w:szCs w:val="28"/>
        </w:rPr>
        <w:br/>
        <w:t xml:space="preserve">PORTRAIT OF THE STATE SERVICES/CRA RESOURCES: </w:t>
      </w:r>
      <w:r w:rsidRPr="00480E1A">
        <w:rPr>
          <w:rFonts w:ascii="Arial" w:hAnsi="Arial" w:cs="Arial"/>
          <w:sz w:val="28"/>
          <w:szCs w:val="28"/>
        </w:rPr>
        <w:br/>
        <w:t>Resources for each areas of emphasis</w:t>
      </w:r>
      <w:r w:rsidRPr="00480E1A">
        <w:rPr>
          <w:rFonts w:ascii="Arial" w:hAnsi="Arial" w:cs="Arial"/>
          <w:sz w:val="28"/>
          <w:szCs w:val="28"/>
        </w:rPr>
        <w:br/>
        <w:t>Analysis of State Issues and Challenges</w:t>
      </w:r>
    </w:p>
    <w:p w14:paraId="6B1EF52F" w14:textId="77777777" w:rsidR="00EF3236" w:rsidRPr="00480E1A" w:rsidRDefault="00EF3236" w:rsidP="00EF3236">
      <w:pPr>
        <w:rPr>
          <w:rFonts w:ascii="Arial" w:hAnsi="Arial" w:cs="Arial"/>
          <w:sz w:val="28"/>
          <w:szCs w:val="28"/>
        </w:rPr>
      </w:pPr>
      <w:r w:rsidRPr="00480E1A">
        <w:rPr>
          <w:rFonts w:ascii="Arial" w:hAnsi="Arial" w:cs="Arial"/>
          <w:sz w:val="28"/>
          <w:szCs w:val="28"/>
        </w:rPr>
        <w:t>This is how the resources for the CRA section are broken down in your guide. Appendix B includes DD prevalence rate data and resources for state information, such as state/territory disability characteristics and demographic information. There is also a section with additional information for these areas that is specific to the territories. Appendix B also includes a go-to section for the overall CRA. The resources listed here will inform the CRA in general. We will review some of those resources in more detail later. For even more specificity, Appendix C covers the Portrait of the State Services portion of the CRA. These resources cover each area of emphasis as well as an Analysis of State Issues and Challenges, Criteria for Eligibility of services, the Availability of Assistive Technology and Waiting List information.</w:t>
      </w:r>
    </w:p>
    <w:p w14:paraId="1DB0F2A7" w14:textId="77777777" w:rsidR="00EF3236" w:rsidRPr="00480E1A" w:rsidRDefault="00EF3236" w:rsidP="00EF3236">
      <w:pPr>
        <w:pStyle w:val="Heading1"/>
        <w:rPr>
          <w:rFonts w:ascii="Arial" w:hAnsi="Arial" w:cs="Arial"/>
          <w:sz w:val="28"/>
          <w:szCs w:val="28"/>
        </w:rPr>
      </w:pPr>
      <w:r w:rsidRPr="00480E1A">
        <w:rPr>
          <w:rFonts w:ascii="Arial" w:hAnsi="Arial" w:cs="Arial"/>
          <w:sz w:val="28"/>
          <w:szCs w:val="28"/>
        </w:rPr>
        <w:t>Areas of Emphasis</w:t>
      </w:r>
    </w:p>
    <w:p w14:paraId="2859BDC5" w14:textId="77777777" w:rsidR="00EF3236" w:rsidRPr="00480E1A" w:rsidRDefault="00EF3236" w:rsidP="00EF3236">
      <w:pPr>
        <w:rPr>
          <w:rFonts w:ascii="Arial" w:hAnsi="Arial" w:cs="Arial"/>
          <w:sz w:val="28"/>
          <w:szCs w:val="28"/>
        </w:rPr>
      </w:pPr>
      <w:r w:rsidRPr="00480E1A">
        <w:rPr>
          <w:rFonts w:ascii="Arial" w:hAnsi="Arial" w:cs="Arial"/>
          <w:sz w:val="28"/>
          <w:szCs w:val="28"/>
        </w:rPr>
        <w:t>RECREATION (OPTIONAL)</w:t>
      </w:r>
    </w:p>
    <w:p w14:paraId="15D204E3" w14:textId="77777777" w:rsidR="00EF3236" w:rsidRPr="00480E1A" w:rsidRDefault="00EF3236" w:rsidP="00EF3236">
      <w:pPr>
        <w:rPr>
          <w:rFonts w:ascii="Arial" w:hAnsi="Arial" w:cs="Arial"/>
          <w:sz w:val="28"/>
          <w:szCs w:val="28"/>
        </w:rPr>
      </w:pPr>
      <w:r w:rsidRPr="00480E1A">
        <w:rPr>
          <w:rFonts w:ascii="Arial" w:hAnsi="Arial" w:cs="Arial"/>
          <w:sz w:val="28"/>
          <w:szCs w:val="28"/>
        </w:rPr>
        <w:t>TRANSPORTATION (OPTIONAL)</w:t>
      </w:r>
    </w:p>
    <w:p w14:paraId="35123588" w14:textId="77777777" w:rsidR="00EF3236" w:rsidRPr="00480E1A" w:rsidRDefault="00EF3236" w:rsidP="00EF3236">
      <w:pPr>
        <w:rPr>
          <w:rFonts w:ascii="Arial" w:hAnsi="Arial" w:cs="Arial"/>
          <w:sz w:val="28"/>
          <w:szCs w:val="28"/>
        </w:rPr>
      </w:pPr>
      <w:r w:rsidRPr="00480E1A">
        <w:rPr>
          <w:rFonts w:ascii="Arial" w:hAnsi="Arial" w:cs="Arial"/>
          <w:sz w:val="28"/>
          <w:szCs w:val="28"/>
        </w:rPr>
        <w:t>HOUSING (OPTIONAL)</w:t>
      </w:r>
    </w:p>
    <w:p w14:paraId="169C7DAC" w14:textId="77777777" w:rsidR="00EF3236" w:rsidRPr="00480E1A" w:rsidRDefault="00EF3236" w:rsidP="00EF3236">
      <w:pPr>
        <w:rPr>
          <w:rFonts w:ascii="Arial" w:hAnsi="Arial" w:cs="Arial"/>
          <w:sz w:val="28"/>
          <w:szCs w:val="28"/>
        </w:rPr>
      </w:pPr>
      <w:r w:rsidRPr="00480E1A">
        <w:rPr>
          <w:rFonts w:ascii="Arial" w:hAnsi="Arial" w:cs="Arial"/>
          <w:sz w:val="28"/>
          <w:szCs w:val="28"/>
        </w:rPr>
        <w:t>CHILD CARE (OPTIONAL)</w:t>
      </w:r>
    </w:p>
    <w:p w14:paraId="0C8DEC1B" w14:textId="77777777" w:rsidR="00EF3236" w:rsidRPr="00480E1A" w:rsidRDefault="00EF3236" w:rsidP="00EF3236">
      <w:pPr>
        <w:rPr>
          <w:rFonts w:ascii="Arial" w:hAnsi="Arial" w:cs="Arial"/>
          <w:sz w:val="28"/>
          <w:szCs w:val="28"/>
        </w:rPr>
      </w:pPr>
      <w:r w:rsidRPr="00480E1A">
        <w:rPr>
          <w:rFonts w:ascii="Arial" w:hAnsi="Arial" w:cs="Arial"/>
          <w:sz w:val="28"/>
          <w:szCs w:val="28"/>
        </w:rPr>
        <w:t>INTERAGENCY INITIATIVES (REQUIRED)*</w:t>
      </w:r>
    </w:p>
    <w:p w14:paraId="3BA77943" w14:textId="77777777" w:rsidR="00EF3236" w:rsidRPr="00480E1A" w:rsidRDefault="00EF3236" w:rsidP="00EF3236">
      <w:pPr>
        <w:rPr>
          <w:rFonts w:ascii="Arial" w:hAnsi="Arial" w:cs="Arial"/>
          <w:sz w:val="28"/>
          <w:szCs w:val="28"/>
        </w:rPr>
      </w:pPr>
      <w:r w:rsidRPr="00480E1A">
        <w:rPr>
          <w:rFonts w:ascii="Arial" w:hAnsi="Arial" w:cs="Arial"/>
          <w:sz w:val="28"/>
          <w:szCs w:val="28"/>
        </w:rPr>
        <w:t>QUALITY ASSURANCE (OPTIONAL)</w:t>
      </w:r>
    </w:p>
    <w:p w14:paraId="22E3D4AF" w14:textId="77777777" w:rsidR="00EF3236" w:rsidRPr="00480E1A" w:rsidRDefault="00EF3236" w:rsidP="00EF3236">
      <w:pPr>
        <w:rPr>
          <w:rFonts w:ascii="Arial" w:hAnsi="Arial" w:cs="Arial"/>
          <w:sz w:val="28"/>
          <w:szCs w:val="28"/>
        </w:rPr>
      </w:pPr>
      <w:r w:rsidRPr="00480E1A">
        <w:rPr>
          <w:rFonts w:ascii="Arial" w:hAnsi="Arial" w:cs="Arial"/>
          <w:sz w:val="28"/>
          <w:szCs w:val="28"/>
        </w:rPr>
        <w:t>HEALTH CARE (REQUIRED)*</w:t>
      </w:r>
    </w:p>
    <w:p w14:paraId="19631325" w14:textId="77777777" w:rsidR="00EF3236" w:rsidRPr="00480E1A" w:rsidRDefault="00EF3236" w:rsidP="00EF3236">
      <w:pPr>
        <w:rPr>
          <w:rFonts w:ascii="Arial" w:hAnsi="Arial" w:cs="Arial"/>
          <w:sz w:val="28"/>
          <w:szCs w:val="28"/>
        </w:rPr>
      </w:pPr>
      <w:r w:rsidRPr="00480E1A">
        <w:rPr>
          <w:rFonts w:ascii="Arial" w:hAnsi="Arial" w:cs="Arial"/>
          <w:sz w:val="28"/>
          <w:szCs w:val="28"/>
        </w:rPr>
        <w:t>EDUCATION/EARLY INTERVENTION (OPTIONAL)</w:t>
      </w:r>
    </w:p>
    <w:p w14:paraId="08E2368E" w14:textId="77777777" w:rsidR="00EF3236" w:rsidRPr="00480E1A" w:rsidRDefault="00EF3236" w:rsidP="00EF3236">
      <w:pPr>
        <w:rPr>
          <w:rFonts w:ascii="Arial" w:hAnsi="Arial" w:cs="Arial"/>
          <w:sz w:val="28"/>
          <w:szCs w:val="28"/>
        </w:rPr>
      </w:pPr>
      <w:r w:rsidRPr="00480E1A">
        <w:rPr>
          <w:rFonts w:ascii="Arial" w:hAnsi="Arial" w:cs="Arial"/>
          <w:sz w:val="28"/>
          <w:szCs w:val="28"/>
        </w:rPr>
        <w:t>EMPLOYMENT (REQUIRED)*</w:t>
      </w:r>
    </w:p>
    <w:p w14:paraId="69539D55" w14:textId="77777777" w:rsidR="00EF3236" w:rsidRPr="00480E1A" w:rsidRDefault="00EF3236" w:rsidP="00EF3236">
      <w:pPr>
        <w:rPr>
          <w:rFonts w:ascii="Arial" w:hAnsi="Arial" w:cs="Arial"/>
          <w:sz w:val="28"/>
          <w:szCs w:val="28"/>
        </w:rPr>
      </w:pPr>
      <w:r w:rsidRPr="00480E1A">
        <w:rPr>
          <w:rFonts w:ascii="Arial" w:hAnsi="Arial" w:cs="Arial"/>
          <w:sz w:val="28"/>
          <w:szCs w:val="28"/>
        </w:rPr>
        <w:t>INFORMAL &amp; FORMAL SERVICES AND SUPPORTS (REQUIRED)*</w:t>
      </w:r>
    </w:p>
    <w:p w14:paraId="47C7A51D" w14:textId="77777777" w:rsidR="00EF3236" w:rsidRPr="00480E1A" w:rsidRDefault="00EF3236" w:rsidP="00EF3236">
      <w:pPr>
        <w:rPr>
          <w:rFonts w:ascii="Arial" w:hAnsi="Arial" w:cs="Arial"/>
          <w:sz w:val="28"/>
          <w:szCs w:val="28"/>
        </w:rPr>
      </w:pPr>
      <w:r w:rsidRPr="00480E1A">
        <w:rPr>
          <w:rFonts w:ascii="Arial" w:hAnsi="Arial" w:cs="Arial"/>
          <w:sz w:val="28"/>
          <w:szCs w:val="28"/>
        </w:rPr>
        <w:t xml:space="preserve">In the guide, there are specific areas of emphasis marked with an asterisk. Those sections are REQUIRED to be included in the State Plan template in the ACL reporting system. Those without an asterisk are optional. IMPORTANT NOTE: If you are developing a goal around an area of emphasis that is considered “optional”, TA recommends including it in the CRA. As part of the rationale for goal selection, your Council will need to justify how it prioritized its goals and that rationale should link back to data and public input within the CRA section. </w:t>
      </w:r>
    </w:p>
    <w:p w14:paraId="51161E34" w14:textId="77777777" w:rsidR="00EF3236" w:rsidRPr="00480E1A" w:rsidRDefault="00EF3236" w:rsidP="00EF3236">
      <w:pPr>
        <w:pStyle w:val="Heading1"/>
        <w:rPr>
          <w:rFonts w:ascii="Arial" w:hAnsi="Arial" w:cs="Arial"/>
          <w:sz w:val="28"/>
          <w:szCs w:val="28"/>
        </w:rPr>
      </w:pPr>
      <w:r w:rsidRPr="00480E1A">
        <w:rPr>
          <w:rFonts w:ascii="Arial" w:hAnsi="Arial" w:cs="Arial"/>
          <w:sz w:val="28"/>
          <w:szCs w:val="28"/>
        </w:rPr>
        <w:t>Resources to inform the CRA</w:t>
      </w:r>
    </w:p>
    <w:p w14:paraId="58919478" w14:textId="77777777" w:rsidR="00FF33BC" w:rsidRPr="00480E1A" w:rsidRDefault="00FF33BC" w:rsidP="00FF33BC">
      <w:pPr>
        <w:rPr>
          <w:rFonts w:ascii="Arial" w:hAnsi="Arial" w:cs="Arial"/>
          <w:sz w:val="28"/>
          <w:szCs w:val="28"/>
        </w:rPr>
      </w:pPr>
      <w:r w:rsidRPr="00480E1A">
        <w:rPr>
          <w:rFonts w:ascii="Arial" w:hAnsi="Arial" w:cs="Arial"/>
          <w:sz w:val="28"/>
          <w:szCs w:val="28"/>
        </w:rPr>
        <w:t>Comprehensive Review and Analysis</w:t>
      </w:r>
    </w:p>
    <w:p w14:paraId="63F9A8CB" w14:textId="77777777" w:rsidR="00FF33BC" w:rsidRPr="00480E1A" w:rsidRDefault="00FF33BC" w:rsidP="00FF33BC">
      <w:pPr>
        <w:rPr>
          <w:rFonts w:ascii="Arial" w:hAnsi="Arial" w:cs="Arial"/>
          <w:sz w:val="28"/>
          <w:szCs w:val="28"/>
        </w:rPr>
      </w:pPr>
      <w:r w:rsidRPr="00480E1A">
        <w:rPr>
          <w:rFonts w:ascii="Arial" w:hAnsi="Arial" w:cs="Arial"/>
          <w:sz w:val="28"/>
          <w:szCs w:val="28"/>
        </w:rPr>
        <w:t xml:space="preserve">Now that we know the different sections of the guide and what is covered under each, let’s briefly review resources to inform the CRA section. There are many resources in the guide to inform the CRA, we are just going to highlight several main links and reports. </w:t>
      </w:r>
    </w:p>
    <w:p w14:paraId="7BCD4E7B" w14:textId="77777777" w:rsidR="00EF3236" w:rsidRPr="00480E1A" w:rsidRDefault="004952A6" w:rsidP="004952A6">
      <w:pPr>
        <w:pStyle w:val="Heading2"/>
        <w:rPr>
          <w:rFonts w:ascii="Arial" w:hAnsi="Arial" w:cs="Arial"/>
          <w:sz w:val="28"/>
          <w:szCs w:val="28"/>
        </w:rPr>
      </w:pPr>
      <w:r w:rsidRPr="00480E1A">
        <w:rPr>
          <w:rFonts w:ascii="Arial" w:hAnsi="Arial" w:cs="Arial"/>
          <w:sz w:val="28"/>
          <w:szCs w:val="28"/>
        </w:rPr>
        <w:t>Longitudinal Data Projects of National Significance: Data for the DD Council’s 5-year plans.</w:t>
      </w:r>
    </w:p>
    <w:p w14:paraId="0E48C39E" w14:textId="77777777" w:rsidR="004952A6" w:rsidRPr="00480E1A" w:rsidRDefault="004952A6" w:rsidP="004952A6">
      <w:pPr>
        <w:rPr>
          <w:rFonts w:ascii="Arial" w:hAnsi="Arial" w:cs="Arial"/>
          <w:sz w:val="28"/>
          <w:szCs w:val="28"/>
        </w:rPr>
      </w:pPr>
      <w:r w:rsidRPr="00480E1A">
        <w:rPr>
          <w:rFonts w:ascii="Arial" w:hAnsi="Arial" w:cs="Arial"/>
          <w:sz w:val="28"/>
          <w:szCs w:val="28"/>
        </w:rPr>
        <w:t>If you didn’t have the chance to attend the most recent webinar from the Administration for Community Living/Office of Intellectual and Developmental Disabilities’ Longitudinal Data Projects of National Significance, the PowerPoint and webinar recording are both linked in the guide. This will cover State of the States, Residential Information Systems Project (RISP) and Competitive Employment State Data from Umass Boston.</w:t>
      </w:r>
    </w:p>
    <w:p w14:paraId="18852C7D" w14:textId="77777777" w:rsidR="004952A6" w:rsidRPr="00480E1A" w:rsidRDefault="006A2299" w:rsidP="004952A6">
      <w:pPr>
        <w:rPr>
          <w:rFonts w:ascii="Arial" w:hAnsi="Arial" w:cs="Arial"/>
          <w:b/>
          <w:bCs/>
          <w:sz w:val="28"/>
          <w:szCs w:val="28"/>
        </w:rPr>
      </w:pPr>
      <w:hyperlink r:id="rId8" w:history="1">
        <w:r w:rsidR="004952A6" w:rsidRPr="00480E1A">
          <w:rPr>
            <w:rStyle w:val="Hyperlink"/>
            <w:rFonts w:ascii="Arial" w:hAnsi="Arial" w:cs="Arial"/>
            <w:b/>
            <w:bCs/>
            <w:sz w:val="28"/>
            <w:szCs w:val="28"/>
          </w:rPr>
          <w:t xml:space="preserve">Statistical Atlas Overview </w:t>
        </w:r>
      </w:hyperlink>
      <w:hyperlink r:id="rId9" w:history="1">
        <w:r w:rsidR="004952A6" w:rsidRPr="00480E1A">
          <w:rPr>
            <w:rStyle w:val="Hyperlink"/>
            <w:rFonts w:ascii="Arial" w:hAnsi="Arial" w:cs="Arial"/>
            <w:b/>
            <w:bCs/>
            <w:sz w:val="28"/>
            <w:szCs w:val="28"/>
          </w:rPr>
          <w:t>page</w:t>
        </w:r>
      </w:hyperlink>
      <w:r w:rsidR="004952A6" w:rsidRPr="00480E1A">
        <w:rPr>
          <w:rFonts w:ascii="Arial" w:hAnsi="Arial" w:cs="Arial"/>
          <w:b/>
          <w:bCs/>
          <w:sz w:val="28"/>
          <w:szCs w:val="28"/>
        </w:rPr>
        <w:br/>
        <w:t>Demographics, Income and Education (Data from the US Census)</w:t>
      </w:r>
    </w:p>
    <w:p w14:paraId="480871B4" w14:textId="77777777" w:rsidR="004952A6" w:rsidRPr="00480E1A" w:rsidRDefault="004952A6" w:rsidP="004952A6">
      <w:pPr>
        <w:rPr>
          <w:rFonts w:ascii="Arial" w:hAnsi="Arial" w:cs="Arial"/>
          <w:sz w:val="28"/>
          <w:szCs w:val="28"/>
        </w:rPr>
      </w:pPr>
      <w:r w:rsidRPr="00480E1A">
        <w:rPr>
          <w:rFonts w:ascii="Arial" w:hAnsi="Arial" w:cs="Arial"/>
          <w:sz w:val="28"/>
          <w:szCs w:val="28"/>
        </w:rPr>
        <w:t xml:space="preserve">The US Census has many reports and publications that can support the CRA. The US Census data is used to general the Statistical Atlas Overview. You may want to visit this page for demographics, income and education statistics and more. </w:t>
      </w:r>
    </w:p>
    <w:p w14:paraId="06FEEC5F" w14:textId="77777777" w:rsidR="004952A6" w:rsidRPr="00480E1A" w:rsidRDefault="006A2299" w:rsidP="004952A6">
      <w:pPr>
        <w:rPr>
          <w:rFonts w:ascii="Arial" w:hAnsi="Arial" w:cs="Arial"/>
          <w:b/>
          <w:bCs/>
          <w:sz w:val="28"/>
          <w:szCs w:val="28"/>
        </w:rPr>
      </w:pPr>
      <w:hyperlink r:id="rId10" w:history="1">
        <w:r w:rsidR="004952A6" w:rsidRPr="00480E1A">
          <w:rPr>
            <w:rStyle w:val="Hyperlink"/>
            <w:rFonts w:ascii="Arial" w:hAnsi="Arial" w:cs="Arial"/>
            <w:b/>
            <w:bCs/>
            <w:sz w:val="28"/>
            <w:szCs w:val="28"/>
          </w:rPr>
          <w:t xml:space="preserve">National Core Indicators, At-A-Glance Report </w:t>
        </w:r>
      </w:hyperlink>
      <w:r w:rsidR="004952A6" w:rsidRPr="00480E1A">
        <w:rPr>
          <w:rFonts w:ascii="Arial" w:hAnsi="Arial" w:cs="Arial"/>
          <w:b/>
          <w:bCs/>
          <w:sz w:val="28"/>
          <w:szCs w:val="28"/>
        </w:rPr>
        <w:t>(2017-2018)</w:t>
      </w:r>
    </w:p>
    <w:p w14:paraId="7CBEB427" w14:textId="77777777" w:rsidR="004952A6" w:rsidRPr="00480E1A" w:rsidRDefault="004952A6" w:rsidP="004952A6">
      <w:pPr>
        <w:rPr>
          <w:rFonts w:ascii="Arial" w:hAnsi="Arial" w:cs="Arial"/>
          <w:sz w:val="28"/>
          <w:szCs w:val="28"/>
        </w:rPr>
      </w:pPr>
      <w:r w:rsidRPr="00480E1A">
        <w:rPr>
          <w:rFonts w:ascii="Arial" w:hAnsi="Arial" w:cs="Arial"/>
          <w:sz w:val="28"/>
          <w:szCs w:val="28"/>
        </w:rPr>
        <w:t>The NCI At-A-Glance report was just published in May of 2019 and has the most recent data from in-person surveys. (Surveys to gather information about the satisfaction, quality of life, and critical life outcomes of those they support.)</w:t>
      </w:r>
    </w:p>
    <w:p w14:paraId="3B122C7C" w14:textId="77777777" w:rsidR="00A115D7" w:rsidRPr="00480E1A" w:rsidRDefault="006A2299" w:rsidP="004952A6">
      <w:pPr>
        <w:rPr>
          <w:rFonts w:ascii="Arial" w:hAnsi="Arial" w:cs="Arial"/>
          <w:sz w:val="28"/>
          <w:szCs w:val="28"/>
        </w:rPr>
      </w:pPr>
      <w:hyperlink r:id="rId11" w:history="1">
        <w:r w:rsidR="00480E1A" w:rsidRPr="00480E1A">
          <w:rPr>
            <w:rStyle w:val="Hyperlink"/>
            <w:rFonts w:ascii="Arial" w:hAnsi="Arial" w:cs="Arial"/>
            <w:b/>
            <w:bCs/>
            <w:sz w:val="28"/>
            <w:szCs w:val="28"/>
          </w:rPr>
          <w:t xml:space="preserve">Annual Disability Statistics Compendium </w:t>
        </w:r>
      </w:hyperlink>
      <w:hyperlink r:id="rId12" w:history="1">
        <w:r w:rsidR="00480E1A" w:rsidRPr="00480E1A">
          <w:rPr>
            <w:rStyle w:val="Hyperlink"/>
            <w:rFonts w:ascii="Arial" w:hAnsi="Arial" w:cs="Arial"/>
            <w:b/>
            <w:bCs/>
            <w:sz w:val="28"/>
            <w:szCs w:val="28"/>
          </w:rPr>
          <w:t>2018</w:t>
        </w:r>
      </w:hyperlink>
    </w:p>
    <w:p w14:paraId="434175AD" w14:textId="77777777" w:rsidR="004952A6" w:rsidRPr="00480E1A" w:rsidRDefault="004952A6" w:rsidP="004952A6">
      <w:pPr>
        <w:rPr>
          <w:rFonts w:ascii="Arial" w:hAnsi="Arial" w:cs="Arial"/>
          <w:sz w:val="28"/>
          <w:szCs w:val="28"/>
        </w:rPr>
      </w:pPr>
      <w:r w:rsidRPr="00480E1A">
        <w:rPr>
          <w:rFonts w:ascii="Arial" w:hAnsi="Arial" w:cs="Arial"/>
          <w:sz w:val="28"/>
          <w:szCs w:val="28"/>
        </w:rPr>
        <w:t xml:space="preserve">The Annual Disability Statistics Compendium and its complement, the Annual Disability Statistics Supplement, are summaries of statistics about people with disabilities and about the government programs, which serve them. The Compendium presents key overall statistics on topics including the prevalence of disability, employment rates, participation in disability income and social insurance programs, as well as other statistics. </w:t>
      </w:r>
    </w:p>
    <w:p w14:paraId="414C4584" w14:textId="77777777" w:rsidR="004952A6" w:rsidRPr="00480E1A" w:rsidRDefault="006A2299" w:rsidP="004952A6">
      <w:pPr>
        <w:rPr>
          <w:rFonts w:ascii="Arial" w:hAnsi="Arial" w:cs="Arial"/>
          <w:b/>
          <w:bCs/>
          <w:sz w:val="28"/>
          <w:szCs w:val="28"/>
        </w:rPr>
      </w:pPr>
      <w:hyperlink r:id="rId13" w:history="1">
        <w:r w:rsidR="004952A6" w:rsidRPr="00480E1A">
          <w:rPr>
            <w:rStyle w:val="Hyperlink"/>
            <w:rFonts w:ascii="Arial" w:hAnsi="Arial" w:cs="Arial"/>
            <w:b/>
            <w:bCs/>
            <w:sz w:val="28"/>
            <w:szCs w:val="28"/>
          </w:rPr>
          <w:t>40</w:t>
        </w:r>
      </w:hyperlink>
      <w:hyperlink r:id="rId14" w:history="1">
        <w:r w:rsidR="004952A6" w:rsidRPr="00480E1A">
          <w:rPr>
            <w:rStyle w:val="Hyperlink"/>
            <w:rFonts w:ascii="Arial" w:hAnsi="Arial" w:cs="Arial"/>
            <w:b/>
            <w:bCs/>
            <w:sz w:val="28"/>
            <w:szCs w:val="28"/>
            <w:vertAlign w:val="superscript"/>
          </w:rPr>
          <w:t>TH</w:t>
        </w:r>
      </w:hyperlink>
      <w:hyperlink r:id="rId15" w:history="1">
        <w:r w:rsidR="004952A6" w:rsidRPr="00480E1A">
          <w:rPr>
            <w:rStyle w:val="Hyperlink"/>
            <w:rFonts w:ascii="Arial" w:hAnsi="Arial" w:cs="Arial"/>
            <w:b/>
            <w:bCs/>
            <w:sz w:val="28"/>
            <w:szCs w:val="28"/>
          </w:rPr>
          <w:t xml:space="preserve"> Annual Report to Congress </w:t>
        </w:r>
      </w:hyperlink>
      <w:r w:rsidR="004952A6" w:rsidRPr="00480E1A">
        <w:rPr>
          <w:rFonts w:ascii="Arial" w:hAnsi="Arial" w:cs="Arial"/>
          <w:b/>
          <w:bCs/>
          <w:sz w:val="28"/>
          <w:szCs w:val="28"/>
        </w:rPr>
        <w:t xml:space="preserve"> - on the Implementation of the Individuals with Disabilities Education Act 2018</w:t>
      </w:r>
    </w:p>
    <w:p w14:paraId="2613A05D" w14:textId="77777777" w:rsidR="004952A6" w:rsidRPr="00480E1A" w:rsidRDefault="004952A6" w:rsidP="004952A6">
      <w:pPr>
        <w:rPr>
          <w:rFonts w:ascii="Arial" w:hAnsi="Arial" w:cs="Arial"/>
          <w:sz w:val="28"/>
          <w:szCs w:val="28"/>
        </w:rPr>
      </w:pPr>
      <w:r w:rsidRPr="00480E1A">
        <w:rPr>
          <w:rFonts w:ascii="Arial" w:hAnsi="Arial" w:cs="Arial"/>
          <w:sz w:val="28"/>
          <w:szCs w:val="28"/>
        </w:rPr>
        <w:t>This report to Congress continues to focus on IDEA results and accountability. The report is broken down into six major sections that summarize and analyze the implementation of IDEA at the national and state level</w:t>
      </w:r>
      <w:r w:rsidR="00E30B90" w:rsidRPr="00480E1A">
        <w:rPr>
          <w:rFonts w:ascii="Arial" w:hAnsi="Arial" w:cs="Arial"/>
          <w:sz w:val="28"/>
          <w:szCs w:val="28"/>
        </w:rPr>
        <w:t>s with US Dept. of Education findings as</w:t>
      </w:r>
      <w:r w:rsidRPr="00480E1A">
        <w:rPr>
          <w:rFonts w:ascii="Arial" w:hAnsi="Arial" w:cs="Arial"/>
          <w:sz w:val="28"/>
          <w:szCs w:val="28"/>
        </w:rPr>
        <w:t xml:space="preserve"> to what states are meeting the r</w:t>
      </w:r>
      <w:r w:rsidR="00E30B90" w:rsidRPr="00480E1A">
        <w:rPr>
          <w:rFonts w:ascii="Arial" w:hAnsi="Arial" w:cs="Arial"/>
          <w:sz w:val="28"/>
          <w:szCs w:val="28"/>
        </w:rPr>
        <w:t xml:space="preserve">equirements of IDEA. </w:t>
      </w:r>
      <w:r w:rsidRPr="00480E1A">
        <w:rPr>
          <w:rFonts w:ascii="Arial" w:hAnsi="Arial" w:cs="Arial"/>
          <w:sz w:val="28"/>
          <w:szCs w:val="28"/>
        </w:rPr>
        <w:t xml:space="preserve">Parts B and C, summary of Special Education research and a summary of national </w:t>
      </w:r>
      <w:r w:rsidR="00E30B90" w:rsidRPr="00480E1A">
        <w:rPr>
          <w:rFonts w:ascii="Arial" w:hAnsi="Arial" w:cs="Arial"/>
          <w:sz w:val="28"/>
          <w:szCs w:val="28"/>
        </w:rPr>
        <w:t>activities, which</w:t>
      </w:r>
      <w:r w:rsidRPr="00480E1A">
        <w:rPr>
          <w:rFonts w:ascii="Arial" w:hAnsi="Arial" w:cs="Arial"/>
          <w:sz w:val="28"/>
          <w:szCs w:val="28"/>
        </w:rPr>
        <w:t xml:space="preserve"> focus on the effectiveness of IDEA</w:t>
      </w:r>
      <w:r w:rsidR="00E30B90" w:rsidRPr="00480E1A">
        <w:rPr>
          <w:rFonts w:ascii="Arial" w:hAnsi="Arial" w:cs="Arial"/>
          <w:sz w:val="28"/>
          <w:szCs w:val="28"/>
        </w:rPr>
        <w:t xml:space="preserve"> are also included</w:t>
      </w:r>
      <w:r w:rsidRPr="00480E1A">
        <w:rPr>
          <w:rFonts w:ascii="Arial" w:hAnsi="Arial" w:cs="Arial"/>
          <w:sz w:val="28"/>
          <w:szCs w:val="28"/>
        </w:rPr>
        <w:t xml:space="preserve">. </w:t>
      </w:r>
    </w:p>
    <w:p w14:paraId="59FBC73B" w14:textId="77777777" w:rsidR="004952A6" w:rsidRPr="00480E1A" w:rsidRDefault="006A2299" w:rsidP="004952A6">
      <w:pPr>
        <w:rPr>
          <w:rFonts w:ascii="Arial" w:hAnsi="Arial" w:cs="Arial"/>
          <w:b/>
          <w:bCs/>
          <w:sz w:val="28"/>
          <w:szCs w:val="28"/>
        </w:rPr>
      </w:pPr>
      <w:hyperlink r:id="rId16" w:history="1">
        <w:r w:rsidR="00E30B90" w:rsidRPr="00480E1A">
          <w:rPr>
            <w:rStyle w:val="Hyperlink"/>
            <w:rFonts w:ascii="Arial" w:hAnsi="Arial" w:cs="Arial"/>
            <w:b/>
            <w:bCs/>
            <w:sz w:val="28"/>
            <w:szCs w:val="28"/>
          </w:rPr>
          <w:t xml:space="preserve">2019 County Health Rankings Key Findings </w:t>
        </w:r>
      </w:hyperlink>
      <w:hyperlink r:id="rId17" w:history="1">
        <w:r w:rsidR="00E30B90" w:rsidRPr="00480E1A">
          <w:rPr>
            <w:rStyle w:val="Hyperlink"/>
            <w:rFonts w:ascii="Arial" w:hAnsi="Arial" w:cs="Arial"/>
            <w:b/>
            <w:bCs/>
            <w:sz w:val="28"/>
            <w:szCs w:val="28"/>
          </w:rPr>
          <w:t xml:space="preserve">Report </w:t>
        </w:r>
      </w:hyperlink>
      <w:r w:rsidR="00E30B90" w:rsidRPr="00480E1A">
        <w:rPr>
          <w:rFonts w:ascii="Arial" w:hAnsi="Arial" w:cs="Arial"/>
          <w:b/>
          <w:bCs/>
          <w:sz w:val="28"/>
          <w:szCs w:val="28"/>
        </w:rPr>
        <w:t>- University of Wisconsin Population Health Institute</w:t>
      </w:r>
    </w:p>
    <w:p w14:paraId="2B170C29" w14:textId="77777777" w:rsidR="00E30B90" w:rsidRPr="00480E1A" w:rsidRDefault="00E30B90" w:rsidP="004952A6">
      <w:pPr>
        <w:rPr>
          <w:rFonts w:ascii="Arial" w:hAnsi="Arial" w:cs="Arial"/>
          <w:sz w:val="28"/>
          <w:szCs w:val="28"/>
        </w:rPr>
      </w:pPr>
      <w:r w:rsidRPr="00480E1A">
        <w:rPr>
          <w:rFonts w:ascii="Arial" w:hAnsi="Arial" w:cs="Arial"/>
          <w:sz w:val="28"/>
          <w:szCs w:val="28"/>
        </w:rPr>
        <w:t xml:space="preserve">The annual County Health Rankings Key Findings Report uses data charts/graphs and analysis to measure vital health factors, including high school graduation rates, obesity, smoking, unemployment, access to healthy foods, the quality of air and water, income inequality, and teen births in nearly every county in America. The 2019 report analyzes the connection between affordable housing and health. The report also serves as a </w:t>
      </w:r>
      <w:r w:rsidRPr="00480E1A">
        <w:rPr>
          <w:rFonts w:ascii="Arial" w:hAnsi="Arial" w:cs="Arial"/>
          <w:i/>
          <w:iCs/>
          <w:sz w:val="28"/>
          <w:szCs w:val="28"/>
        </w:rPr>
        <w:t>call to action</w:t>
      </w:r>
      <w:r w:rsidRPr="00480E1A">
        <w:rPr>
          <w:rFonts w:ascii="Arial" w:hAnsi="Arial" w:cs="Arial"/>
          <w:sz w:val="28"/>
          <w:szCs w:val="28"/>
        </w:rPr>
        <w:t xml:space="preserve"> for communities and advocates so DD Councils may find this useful beyond just informing the CRA.</w:t>
      </w:r>
    </w:p>
    <w:p w14:paraId="2E3A3FB0" w14:textId="77777777" w:rsidR="00E30B90" w:rsidRPr="00480E1A" w:rsidRDefault="00E30B90" w:rsidP="00E30B90">
      <w:pPr>
        <w:pStyle w:val="Heading1"/>
        <w:rPr>
          <w:rFonts w:ascii="Arial" w:hAnsi="Arial" w:cs="Arial"/>
          <w:sz w:val="28"/>
          <w:szCs w:val="28"/>
        </w:rPr>
      </w:pPr>
      <w:r w:rsidRPr="00480E1A">
        <w:rPr>
          <w:rFonts w:ascii="Arial" w:hAnsi="Arial" w:cs="Arial"/>
          <w:sz w:val="28"/>
          <w:szCs w:val="28"/>
        </w:rPr>
        <w:t>For more information</w:t>
      </w:r>
    </w:p>
    <w:p w14:paraId="0BA9FEA9" w14:textId="77777777" w:rsidR="00E30B90" w:rsidRPr="00480E1A" w:rsidRDefault="00E30B90" w:rsidP="00E30B90">
      <w:pPr>
        <w:rPr>
          <w:rFonts w:ascii="Arial" w:hAnsi="Arial" w:cs="Arial"/>
          <w:sz w:val="28"/>
          <w:szCs w:val="28"/>
        </w:rPr>
      </w:pPr>
      <w:r w:rsidRPr="00480E1A">
        <w:rPr>
          <w:rFonts w:ascii="Arial" w:hAnsi="Arial" w:cs="Arial"/>
          <w:sz w:val="28"/>
          <w:szCs w:val="28"/>
        </w:rPr>
        <w:t>ITACC Website, Five Year State Plan Page</w:t>
      </w:r>
    </w:p>
    <w:p w14:paraId="139B43F5" w14:textId="77777777" w:rsidR="00E30B90" w:rsidRPr="00480E1A" w:rsidRDefault="00E30B90" w:rsidP="00E30B90">
      <w:pPr>
        <w:rPr>
          <w:rFonts w:ascii="Arial" w:hAnsi="Arial" w:cs="Arial"/>
          <w:sz w:val="28"/>
          <w:szCs w:val="28"/>
        </w:rPr>
      </w:pPr>
      <w:r w:rsidRPr="00480E1A">
        <w:rPr>
          <w:rFonts w:ascii="Arial" w:hAnsi="Arial" w:cs="Arial"/>
          <w:sz w:val="28"/>
          <w:szCs w:val="28"/>
        </w:rPr>
        <w:t>NEW State Plan Development Resource Guide</w:t>
      </w:r>
    </w:p>
    <w:p w14:paraId="468AC813" w14:textId="77777777" w:rsidR="004952A6" w:rsidRPr="00480E1A" w:rsidRDefault="00E30B90" w:rsidP="00E30B90">
      <w:pPr>
        <w:rPr>
          <w:rFonts w:ascii="Arial" w:hAnsi="Arial" w:cs="Arial"/>
          <w:sz w:val="28"/>
          <w:szCs w:val="28"/>
        </w:rPr>
      </w:pPr>
      <w:r w:rsidRPr="00480E1A">
        <w:rPr>
          <w:rFonts w:ascii="Arial" w:hAnsi="Arial" w:cs="Arial"/>
          <w:sz w:val="28"/>
          <w:szCs w:val="28"/>
        </w:rPr>
        <w:t>Upcoming ITACC webinars on the CRA, Goals &amp; Objectives &amp; Expected Outcomes</w:t>
      </w:r>
    </w:p>
    <w:p w14:paraId="552A51F9" w14:textId="48DB0323" w:rsidR="004952A6" w:rsidRPr="00480E1A" w:rsidRDefault="00E30B90" w:rsidP="004952A6">
      <w:pPr>
        <w:rPr>
          <w:rFonts w:ascii="Arial" w:hAnsi="Arial" w:cs="Arial"/>
          <w:sz w:val="28"/>
          <w:szCs w:val="28"/>
        </w:rPr>
      </w:pPr>
      <w:r w:rsidRPr="00480E1A">
        <w:rPr>
          <w:rFonts w:ascii="Arial" w:hAnsi="Arial" w:cs="Arial"/>
          <w:sz w:val="28"/>
          <w:szCs w:val="28"/>
        </w:rPr>
        <w:t>Techni</w:t>
      </w:r>
      <w:r w:rsidR="00A63B71">
        <w:rPr>
          <w:rFonts w:ascii="Arial" w:hAnsi="Arial" w:cs="Arial"/>
          <w:sz w:val="28"/>
          <w:szCs w:val="28"/>
        </w:rPr>
        <w:t>cal Assistance Institute, JULY 7</w:t>
      </w:r>
      <w:bookmarkStart w:id="0" w:name="_GoBack"/>
      <w:bookmarkEnd w:id="0"/>
      <w:r w:rsidRPr="00480E1A">
        <w:rPr>
          <w:rFonts w:ascii="Arial" w:hAnsi="Arial" w:cs="Arial"/>
          <w:sz w:val="28"/>
          <w:szCs w:val="28"/>
        </w:rPr>
        <w:t>-8, 2020 in DC</w:t>
      </w:r>
    </w:p>
    <w:p w14:paraId="5397ABD3" w14:textId="77777777" w:rsidR="00E30B90" w:rsidRPr="00480E1A" w:rsidRDefault="00E30B90" w:rsidP="00E30B90">
      <w:pPr>
        <w:pStyle w:val="Heading2"/>
        <w:rPr>
          <w:rFonts w:ascii="Arial" w:hAnsi="Arial" w:cs="Arial"/>
          <w:sz w:val="28"/>
          <w:szCs w:val="28"/>
        </w:rPr>
      </w:pPr>
      <w:r w:rsidRPr="00480E1A">
        <w:rPr>
          <w:rFonts w:ascii="Arial" w:hAnsi="Arial" w:cs="Arial"/>
          <w:sz w:val="28"/>
          <w:szCs w:val="28"/>
        </w:rPr>
        <w:t>CONTACT ITACC STAFF</w:t>
      </w:r>
    </w:p>
    <w:p w14:paraId="7CA7ACD8" w14:textId="77777777" w:rsidR="00A115D7" w:rsidRPr="00480E1A" w:rsidRDefault="00480E1A" w:rsidP="00E30B90">
      <w:pPr>
        <w:rPr>
          <w:rFonts w:ascii="Arial" w:hAnsi="Arial" w:cs="Arial"/>
          <w:sz w:val="28"/>
          <w:szCs w:val="28"/>
        </w:rPr>
      </w:pPr>
      <w:r w:rsidRPr="00480E1A">
        <w:rPr>
          <w:rFonts w:ascii="Arial" w:hAnsi="Arial" w:cs="Arial"/>
          <w:sz w:val="28"/>
          <w:szCs w:val="28"/>
        </w:rPr>
        <w:t>Sheryl Matney, Director of Technical Assistance</w:t>
      </w:r>
      <w:r w:rsidRPr="00480E1A">
        <w:rPr>
          <w:rFonts w:ascii="Arial" w:hAnsi="Arial" w:cs="Arial"/>
          <w:sz w:val="28"/>
          <w:szCs w:val="28"/>
        </w:rPr>
        <w:br/>
        <w:t>202-506-5813 ext. 148 or </w:t>
      </w:r>
      <w:hyperlink r:id="rId18" w:history="1">
        <w:r w:rsidRPr="00480E1A">
          <w:rPr>
            <w:rStyle w:val="Hyperlink"/>
            <w:rFonts w:ascii="Arial" w:hAnsi="Arial" w:cs="Arial"/>
            <w:sz w:val="28"/>
            <w:szCs w:val="28"/>
          </w:rPr>
          <w:t>smatney@nacdd.org</w:t>
        </w:r>
      </w:hyperlink>
      <w:r w:rsidRPr="00480E1A">
        <w:rPr>
          <w:rFonts w:ascii="Arial" w:hAnsi="Arial" w:cs="Arial"/>
          <w:sz w:val="28"/>
          <w:szCs w:val="28"/>
        </w:rPr>
        <w:t xml:space="preserve"> </w:t>
      </w:r>
    </w:p>
    <w:p w14:paraId="479EC996" w14:textId="77777777" w:rsidR="00A115D7" w:rsidRPr="00480E1A" w:rsidRDefault="00480E1A" w:rsidP="00E30B90">
      <w:pPr>
        <w:rPr>
          <w:rFonts w:ascii="Arial" w:hAnsi="Arial" w:cs="Arial"/>
          <w:sz w:val="28"/>
          <w:szCs w:val="28"/>
        </w:rPr>
      </w:pPr>
      <w:r w:rsidRPr="00480E1A">
        <w:rPr>
          <w:rFonts w:ascii="Arial" w:hAnsi="Arial" w:cs="Arial"/>
          <w:sz w:val="28"/>
          <w:szCs w:val="28"/>
        </w:rPr>
        <w:t>Angela Castillo-Epps, Technical Assistance Specialist</w:t>
      </w:r>
      <w:r w:rsidRPr="00480E1A">
        <w:rPr>
          <w:rFonts w:ascii="Arial" w:hAnsi="Arial" w:cs="Arial"/>
          <w:sz w:val="28"/>
          <w:szCs w:val="28"/>
        </w:rPr>
        <w:br/>
        <w:t>202-506-5813 ext. 100 or </w:t>
      </w:r>
      <w:hyperlink r:id="rId19" w:history="1">
        <w:r w:rsidRPr="00480E1A">
          <w:rPr>
            <w:rStyle w:val="Hyperlink"/>
            <w:rFonts w:ascii="Arial" w:hAnsi="Arial" w:cs="Arial"/>
            <w:sz w:val="28"/>
            <w:szCs w:val="28"/>
          </w:rPr>
          <w:t>acastillo-epps@nacdd.org</w:t>
        </w:r>
      </w:hyperlink>
    </w:p>
    <w:p w14:paraId="31A867B8" w14:textId="77777777" w:rsidR="004952A6" w:rsidRPr="00480E1A" w:rsidRDefault="00E30B90" w:rsidP="004952A6">
      <w:pPr>
        <w:rPr>
          <w:rFonts w:ascii="Arial" w:hAnsi="Arial" w:cs="Arial"/>
          <w:sz w:val="28"/>
          <w:szCs w:val="28"/>
        </w:rPr>
      </w:pPr>
      <w:r w:rsidRPr="00480E1A">
        <w:rPr>
          <w:rFonts w:ascii="Arial" w:hAnsi="Arial" w:cs="Arial"/>
          <w:sz w:val="28"/>
          <w:szCs w:val="28"/>
        </w:rPr>
        <w:t xml:space="preserve">ITACC will continue to provide information to support DD Councils in developing the 2022-2026 State Plans. The ITACChelp.org website’s Five Year State Plan page will be periodically updated with new materials. Additional webinars on the CRA, developing state plan goals, objectives and expected outcomes will be conducted and </w:t>
      </w:r>
      <w:r w:rsidR="00480E1A" w:rsidRPr="00480E1A">
        <w:rPr>
          <w:rFonts w:ascii="Arial" w:hAnsi="Arial" w:cs="Arial"/>
          <w:sz w:val="28"/>
          <w:szCs w:val="28"/>
        </w:rPr>
        <w:t>two sessions at the TAI in July, will</w:t>
      </w:r>
      <w:r w:rsidRPr="00480E1A">
        <w:rPr>
          <w:rFonts w:ascii="Arial" w:hAnsi="Arial" w:cs="Arial"/>
          <w:sz w:val="28"/>
          <w:szCs w:val="28"/>
        </w:rPr>
        <w:t xml:space="preserve"> cover State Plan Development needs. Session content is still being determined. Of course, Sheryl and I area always here is you have questions. Feel free to contact us at any time. Any questions?</w:t>
      </w:r>
    </w:p>
    <w:p w14:paraId="249FCAB9" w14:textId="77777777" w:rsidR="004952A6" w:rsidRPr="00480E1A" w:rsidRDefault="004952A6" w:rsidP="004952A6">
      <w:pPr>
        <w:rPr>
          <w:rFonts w:ascii="Arial" w:hAnsi="Arial" w:cs="Arial"/>
          <w:sz w:val="28"/>
          <w:szCs w:val="28"/>
        </w:rPr>
      </w:pPr>
    </w:p>
    <w:sectPr w:rsidR="004952A6" w:rsidRPr="00480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A6F13"/>
    <w:multiLevelType w:val="hybridMultilevel"/>
    <w:tmpl w:val="100A97F4"/>
    <w:lvl w:ilvl="0" w:tplc="FBCC6F56">
      <w:start w:val="1"/>
      <w:numFmt w:val="bullet"/>
      <w:lvlText w:val=""/>
      <w:lvlJc w:val="left"/>
      <w:pPr>
        <w:tabs>
          <w:tab w:val="num" w:pos="720"/>
        </w:tabs>
        <w:ind w:left="720" w:hanging="360"/>
      </w:pPr>
      <w:rPr>
        <w:rFonts w:ascii="Wingdings" w:hAnsi="Wingdings" w:hint="default"/>
      </w:rPr>
    </w:lvl>
    <w:lvl w:ilvl="1" w:tplc="B81A2D76" w:tentative="1">
      <w:start w:val="1"/>
      <w:numFmt w:val="bullet"/>
      <w:lvlText w:val=""/>
      <w:lvlJc w:val="left"/>
      <w:pPr>
        <w:tabs>
          <w:tab w:val="num" w:pos="1440"/>
        </w:tabs>
        <w:ind w:left="1440" w:hanging="360"/>
      </w:pPr>
      <w:rPr>
        <w:rFonts w:ascii="Wingdings" w:hAnsi="Wingdings" w:hint="default"/>
      </w:rPr>
    </w:lvl>
    <w:lvl w:ilvl="2" w:tplc="6ABACBA8" w:tentative="1">
      <w:start w:val="1"/>
      <w:numFmt w:val="bullet"/>
      <w:lvlText w:val=""/>
      <w:lvlJc w:val="left"/>
      <w:pPr>
        <w:tabs>
          <w:tab w:val="num" w:pos="2160"/>
        </w:tabs>
        <w:ind w:left="2160" w:hanging="360"/>
      </w:pPr>
      <w:rPr>
        <w:rFonts w:ascii="Wingdings" w:hAnsi="Wingdings" w:hint="default"/>
      </w:rPr>
    </w:lvl>
    <w:lvl w:ilvl="3" w:tplc="7F6E3DDE" w:tentative="1">
      <w:start w:val="1"/>
      <w:numFmt w:val="bullet"/>
      <w:lvlText w:val=""/>
      <w:lvlJc w:val="left"/>
      <w:pPr>
        <w:tabs>
          <w:tab w:val="num" w:pos="2880"/>
        </w:tabs>
        <w:ind w:left="2880" w:hanging="360"/>
      </w:pPr>
      <w:rPr>
        <w:rFonts w:ascii="Wingdings" w:hAnsi="Wingdings" w:hint="default"/>
      </w:rPr>
    </w:lvl>
    <w:lvl w:ilvl="4" w:tplc="FD6E20CC" w:tentative="1">
      <w:start w:val="1"/>
      <w:numFmt w:val="bullet"/>
      <w:lvlText w:val=""/>
      <w:lvlJc w:val="left"/>
      <w:pPr>
        <w:tabs>
          <w:tab w:val="num" w:pos="3600"/>
        </w:tabs>
        <w:ind w:left="3600" w:hanging="360"/>
      </w:pPr>
      <w:rPr>
        <w:rFonts w:ascii="Wingdings" w:hAnsi="Wingdings" w:hint="default"/>
      </w:rPr>
    </w:lvl>
    <w:lvl w:ilvl="5" w:tplc="8736C832" w:tentative="1">
      <w:start w:val="1"/>
      <w:numFmt w:val="bullet"/>
      <w:lvlText w:val=""/>
      <w:lvlJc w:val="left"/>
      <w:pPr>
        <w:tabs>
          <w:tab w:val="num" w:pos="4320"/>
        </w:tabs>
        <w:ind w:left="4320" w:hanging="360"/>
      </w:pPr>
      <w:rPr>
        <w:rFonts w:ascii="Wingdings" w:hAnsi="Wingdings" w:hint="default"/>
      </w:rPr>
    </w:lvl>
    <w:lvl w:ilvl="6" w:tplc="C442CE48" w:tentative="1">
      <w:start w:val="1"/>
      <w:numFmt w:val="bullet"/>
      <w:lvlText w:val=""/>
      <w:lvlJc w:val="left"/>
      <w:pPr>
        <w:tabs>
          <w:tab w:val="num" w:pos="5040"/>
        </w:tabs>
        <w:ind w:left="5040" w:hanging="360"/>
      </w:pPr>
      <w:rPr>
        <w:rFonts w:ascii="Wingdings" w:hAnsi="Wingdings" w:hint="default"/>
      </w:rPr>
    </w:lvl>
    <w:lvl w:ilvl="7" w:tplc="5CE88334" w:tentative="1">
      <w:start w:val="1"/>
      <w:numFmt w:val="bullet"/>
      <w:lvlText w:val=""/>
      <w:lvlJc w:val="left"/>
      <w:pPr>
        <w:tabs>
          <w:tab w:val="num" w:pos="5760"/>
        </w:tabs>
        <w:ind w:left="5760" w:hanging="360"/>
      </w:pPr>
      <w:rPr>
        <w:rFonts w:ascii="Wingdings" w:hAnsi="Wingdings" w:hint="default"/>
      </w:rPr>
    </w:lvl>
    <w:lvl w:ilvl="8" w:tplc="DFBCAC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D1B03"/>
    <w:multiLevelType w:val="hybridMultilevel"/>
    <w:tmpl w:val="DBBEC214"/>
    <w:lvl w:ilvl="0" w:tplc="28B28388">
      <w:start w:val="1"/>
      <w:numFmt w:val="bullet"/>
      <w:lvlText w:val=""/>
      <w:lvlJc w:val="left"/>
      <w:pPr>
        <w:tabs>
          <w:tab w:val="num" w:pos="720"/>
        </w:tabs>
        <w:ind w:left="720" w:hanging="360"/>
      </w:pPr>
      <w:rPr>
        <w:rFonts w:ascii="Wingdings" w:hAnsi="Wingdings" w:hint="default"/>
      </w:rPr>
    </w:lvl>
    <w:lvl w:ilvl="1" w:tplc="95F20E88" w:tentative="1">
      <w:start w:val="1"/>
      <w:numFmt w:val="bullet"/>
      <w:lvlText w:val=""/>
      <w:lvlJc w:val="left"/>
      <w:pPr>
        <w:tabs>
          <w:tab w:val="num" w:pos="1440"/>
        </w:tabs>
        <w:ind w:left="1440" w:hanging="360"/>
      </w:pPr>
      <w:rPr>
        <w:rFonts w:ascii="Wingdings" w:hAnsi="Wingdings" w:hint="default"/>
      </w:rPr>
    </w:lvl>
    <w:lvl w:ilvl="2" w:tplc="DA7A1C8C" w:tentative="1">
      <w:start w:val="1"/>
      <w:numFmt w:val="bullet"/>
      <w:lvlText w:val=""/>
      <w:lvlJc w:val="left"/>
      <w:pPr>
        <w:tabs>
          <w:tab w:val="num" w:pos="2160"/>
        </w:tabs>
        <w:ind w:left="2160" w:hanging="360"/>
      </w:pPr>
      <w:rPr>
        <w:rFonts w:ascii="Wingdings" w:hAnsi="Wingdings" w:hint="default"/>
      </w:rPr>
    </w:lvl>
    <w:lvl w:ilvl="3" w:tplc="9E468C24" w:tentative="1">
      <w:start w:val="1"/>
      <w:numFmt w:val="bullet"/>
      <w:lvlText w:val=""/>
      <w:lvlJc w:val="left"/>
      <w:pPr>
        <w:tabs>
          <w:tab w:val="num" w:pos="2880"/>
        </w:tabs>
        <w:ind w:left="2880" w:hanging="360"/>
      </w:pPr>
      <w:rPr>
        <w:rFonts w:ascii="Wingdings" w:hAnsi="Wingdings" w:hint="default"/>
      </w:rPr>
    </w:lvl>
    <w:lvl w:ilvl="4" w:tplc="ADEE3884" w:tentative="1">
      <w:start w:val="1"/>
      <w:numFmt w:val="bullet"/>
      <w:lvlText w:val=""/>
      <w:lvlJc w:val="left"/>
      <w:pPr>
        <w:tabs>
          <w:tab w:val="num" w:pos="3600"/>
        </w:tabs>
        <w:ind w:left="3600" w:hanging="360"/>
      </w:pPr>
      <w:rPr>
        <w:rFonts w:ascii="Wingdings" w:hAnsi="Wingdings" w:hint="default"/>
      </w:rPr>
    </w:lvl>
    <w:lvl w:ilvl="5" w:tplc="8E30615C" w:tentative="1">
      <w:start w:val="1"/>
      <w:numFmt w:val="bullet"/>
      <w:lvlText w:val=""/>
      <w:lvlJc w:val="left"/>
      <w:pPr>
        <w:tabs>
          <w:tab w:val="num" w:pos="4320"/>
        </w:tabs>
        <w:ind w:left="4320" w:hanging="360"/>
      </w:pPr>
      <w:rPr>
        <w:rFonts w:ascii="Wingdings" w:hAnsi="Wingdings" w:hint="default"/>
      </w:rPr>
    </w:lvl>
    <w:lvl w:ilvl="6" w:tplc="69DC86DE" w:tentative="1">
      <w:start w:val="1"/>
      <w:numFmt w:val="bullet"/>
      <w:lvlText w:val=""/>
      <w:lvlJc w:val="left"/>
      <w:pPr>
        <w:tabs>
          <w:tab w:val="num" w:pos="5040"/>
        </w:tabs>
        <w:ind w:left="5040" w:hanging="360"/>
      </w:pPr>
      <w:rPr>
        <w:rFonts w:ascii="Wingdings" w:hAnsi="Wingdings" w:hint="default"/>
      </w:rPr>
    </w:lvl>
    <w:lvl w:ilvl="7" w:tplc="61F67682" w:tentative="1">
      <w:start w:val="1"/>
      <w:numFmt w:val="bullet"/>
      <w:lvlText w:val=""/>
      <w:lvlJc w:val="left"/>
      <w:pPr>
        <w:tabs>
          <w:tab w:val="num" w:pos="5760"/>
        </w:tabs>
        <w:ind w:left="5760" w:hanging="360"/>
      </w:pPr>
      <w:rPr>
        <w:rFonts w:ascii="Wingdings" w:hAnsi="Wingdings" w:hint="default"/>
      </w:rPr>
    </w:lvl>
    <w:lvl w:ilvl="8" w:tplc="F28C72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B42DB7"/>
    <w:multiLevelType w:val="hybridMultilevel"/>
    <w:tmpl w:val="E80C90D4"/>
    <w:lvl w:ilvl="0" w:tplc="B972E76A">
      <w:start w:val="1"/>
      <w:numFmt w:val="bullet"/>
      <w:lvlText w:val=""/>
      <w:lvlJc w:val="left"/>
      <w:pPr>
        <w:tabs>
          <w:tab w:val="num" w:pos="720"/>
        </w:tabs>
        <w:ind w:left="720" w:hanging="360"/>
      </w:pPr>
      <w:rPr>
        <w:rFonts w:ascii="Wingdings" w:hAnsi="Wingdings" w:hint="default"/>
      </w:rPr>
    </w:lvl>
    <w:lvl w:ilvl="1" w:tplc="79EA9B66" w:tentative="1">
      <w:start w:val="1"/>
      <w:numFmt w:val="bullet"/>
      <w:lvlText w:val=""/>
      <w:lvlJc w:val="left"/>
      <w:pPr>
        <w:tabs>
          <w:tab w:val="num" w:pos="1440"/>
        </w:tabs>
        <w:ind w:left="1440" w:hanging="360"/>
      </w:pPr>
      <w:rPr>
        <w:rFonts w:ascii="Wingdings" w:hAnsi="Wingdings" w:hint="default"/>
      </w:rPr>
    </w:lvl>
    <w:lvl w:ilvl="2" w:tplc="2BF0F594" w:tentative="1">
      <w:start w:val="1"/>
      <w:numFmt w:val="bullet"/>
      <w:lvlText w:val=""/>
      <w:lvlJc w:val="left"/>
      <w:pPr>
        <w:tabs>
          <w:tab w:val="num" w:pos="2160"/>
        </w:tabs>
        <w:ind w:left="2160" w:hanging="360"/>
      </w:pPr>
      <w:rPr>
        <w:rFonts w:ascii="Wingdings" w:hAnsi="Wingdings" w:hint="default"/>
      </w:rPr>
    </w:lvl>
    <w:lvl w:ilvl="3" w:tplc="D4F660CE" w:tentative="1">
      <w:start w:val="1"/>
      <w:numFmt w:val="bullet"/>
      <w:lvlText w:val=""/>
      <w:lvlJc w:val="left"/>
      <w:pPr>
        <w:tabs>
          <w:tab w:val="num" w:pos="2880"/>
        </w:tabs>
        <w:ind w:left="2880" w:hanging="360"/>
      </w:pPr>
      <w:rPr>
        <w:rFonts w:ascii="Wingdings" w:hAnsi="Wingdings" w:hint="default"/>
      </w:rPr>
    </w:lvl>
    <w:lvl w:ilvl="4" w:tplc="2F08C01E" w:tentative="1">
      <w:start w:val="1"/>
      <w:numFmt w:val="bullet"/>
      <w:lvlText w:val=""/>
      <w:lvlJc w:val="left"/>
      <w:pPr>
        <w:tabs>
          <w:tab w:val="num" w:pos="3600"/>
        </w:tabs>
        <w:ind w:left="3600" w:hanging="360"/>
      </w:pPr>
      <w:rPr>
        <w:rFonts w:ascii="Wingdings" w:hAnsi="Wingdings" w:hint="default"/>
      </w:rPr>
    </w:lvl>
    <w:lvl w:ilvl="5" w:tplc="F7C038D6" w:tentative="1">
      <w:start w:val="1"/>
      <w:numFmt w:val="bullet"/>
      <w:lvlText w:val=""/>
      <w:lvlJc w:val="left"/>
      <w:pPr>
        <w:tabs>
          <w:tab w:val="num" w:pos="4320"/>
        </w:tabs>
        <w:ind w:left="4320" w:hanging="360"/>
      </w:pPr>
      <w:rPr>
        <w:rFonts w:ascii="Wingdings" w:hAnsi="Wingdings" w:hint="default"/>
      </w:rPr>
    </w:lvl>
    <w:lvl w:ilvl="6" w:tplc="B7549264" w:tentative="1">
      <w:start w:val="1"/>
      <w:numFmt w:val="bullet"/>
      <w:lvlText w:val=""/>
      <w:lvlJc w:val="left"/>
      <w:pPr>
        <w:tabs>
          <w:tab w:val="num" w:pos="5040"/>
        </w:tabs>
        <w:ind w:left="5040" w:hanging="360"/>
      </w:pPr>
      <w:rPr>
        <w:rFonts w:ascii="Wingdings" w:hAnsi="Wingdings" w:hint="default"/>
      </w:rPr>
    </w:lvl>
    <w:lvl w:ilvl="7" w:tplc="8FF421E6" w:tentative="1">
      <w:start w:val="1"/>
      <w:numFmt w:val="bullet"/>
      <w:lvlText w:val=""/>
      <w:lvlJc w:val="left"/>
      <w:pPr>
        <w:tabs>
          <w:tab w:val="num" w:pos="5760"/>
        </w:tabs>
        <w:ind w:left="5760" w:hanging="360"/>
      </w:pPr>
      <w:rPr>
        <w:rFonts w:ascii="Wingdings" w:hAnsi="Wingdings" w:hint="default"/>
      </w:rPr>
    </w:lvl>
    <w:lvl w:ilvl="8" w:tplc="EFFE62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7465F9"/>
    <w:multiLevelType w:val="hybridMultilevel"/>
    <w:tmpl w:val="76F292A2"/>
    <w:lvl w:ilvl="0" w:tplc="F684B8E6">
      <w:start w:val="1"/>
      <w:numFmt w:val="bullet"/>
      <w:lvlText w:val=""/>
      <w:lvlJc w:val="left"/>
      <w:pPr>
        <w:tabs>
          <w:tab w:val="num" w:pos="720"/>
        </w:tabs>
        <w:ind w:left="720" w:hanging="360"/>
      </w:pPr>
      <w:rPr>
        <w:rFonts w:ascii="Wingdings" w:hAnsi="Wingdings" w:hint="default"/>
      </w:rPr>
    </w:lvl>
    <w:lvl w:ilvl="1" w:tplc="E0A4B6AE" w:tentative="1">
      <w:start w:val="1"/>
      <w:numFmt w:val="bullet"/>
      <w:lvlText w:val=""/>
      <w:lvlJc w:val="left"/>
      <w:pPr>
        <w:tabs>
          <w:tab w:val="num" w:pos="1440"/>
        </w:tabs>
        <w:ind w:left="1440" w:hanging="360"/>
      </w:pPr>
      <w:rPr>
        <w:rFonts w:ascii="Wingdings" w:hAnsi="Wingdings" w:hint="default"/>
      </w:rPr>
    </w:lvl>
    <w:lvl w:ilvl="2" w:tplc="B3FC608E" w:tentative="1">
      <w:start w:val="1"/>
      <w:numFmt w:val="bullet"/>
      <w:lvlText w:val=""/>
      <w:lvlJc w:val="left"/>
      <w:pPr>
        <w:tabs>
          <w:tab w:val="num" w:pos="2160"/>
        </w:tabs>
        <w:ind w:left="2160" w:hanging="360"/>
      </w:pPr>
      <w:rPr>
        <w:rFonts w:ascii="Wingdings" w:hAnsi="Wingdings" w:hint="default"/>
      </w:rPr>
    </w:lvl>
    <w:lvl w:ilvl="3" w:tplc="86E8F47C" w:tentative="1">
      <w:start w:val="1"/>
      <w:numFmt w:val="bullet"/>
      <w:lvlText w:val=""/>
      <w:lvlJc w:val="left"/>
      <w:pPr>
        <w:tabs>
          <w:tab w:val="num" w:pos="2880"/>
        </w:tabs>
        <w:ind w:left="2880" w:hanging="360"/>
      </w:pPr>
      <w:rPr>
        <w:rFonts w:ascii="Wingdings" w:hAnsi="Wingdings" w:hint="default"/>
      </w:rPr>
    </w:lvl>
    <w:lvl w:ilvl="4" w:tplc="D2D81DD8" w:tentative="1">
      <w:start w:val="1"/>
      <w:numFmt w:val="bullet"/>
      <w:lvlText w:val=""/>
      <w:lvlJc w:val="left"/>
      <w:pPr>
        <w:tabs>
          <w:tab w:val="num" w:pos="3600"/>
        </w:tabs>
        <w:ind w:left="3600" w:hanging="360"/>
      </w:pPr>
      <w:rPr>
        <w:rFonts w:ascii="Wingdings" w:hAnsi="Wingdings" w:hint="default"/>
      </w:rPr>
    </w:lvl>
    <w:lvl w:ilvl="5" w:tplc="31CA612E" w:tentative="1">
      <w:start w:val="1"/>
      <w:numFmt w:val="bullet"/>
      <w:lvlText w:val=""/>
      <w:lvlJc w:val="left"/>
      <w:pPr>
        <w:tabs>
          <w:tab w:val="num" w:pos="4320"/>
        </w:tabs>
        <w:ind w:left="4320" w:hanging="360"/>
      </w:pPr>
      <w:rPr>
        <w:rFonts w:ascii="Wingdings" w:hAnsi="Wingdings" w:hint="default"/>
      </w:rPr>
    </w:lvl>
    <w:lvl w:ilvl="6" w:tplc="95AC71FA" w:tentative="1">
      <w:start w:val="1"/>
      <w:numFmt w:val="bullet"/>
      <w:lvlText w:val=""/>
      <w:lvlJc w:val="left"/>
      <w:pPr>
        <w:tabs>
          <w:tab w:val="num" w:pos="5040"/>
        </w:tabs>
        <w:ind w:left="5040" w:hanging="360"/>
      </w:pPr>
      <w:rPr>
        <w:rFonts w:ascii="Wingdings" w:hAnsi="Wingdings" w:hint="default"/>
      </w:rPr>
    </w:lvl>
    <w:lvl w:ilvl="7" w:tplc="EC6EF63E" w:tentative="1">
      <w:start w:val="1"/>
      <w:numFmt w:val="bullet"/>
      <w:lvlText w:val=""/>
      <w:lvlJc w:val="left"/>
      <w:pPr>
        <w:tabs>
          <w:tab w:val="num" w:pos="5760"/>
        </w:tabs>
        <w:ind w:left="5760" w:hanging="360"/>
      </w:pPr>
      <w:rPr>
        <w:rFonts w:ascii="Wingdings" w:hAnsi="Wingdings" w:hint="default"/>
      </w:rPr>
    </w:lvl>
    <w:lvl w:ilvl="8" w:tplc="3422880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9F"/>
    <w:rsid w:val="00407E38"/>
    <w:rsid w:val="00480E1A"/>
    <w:rsid w:val="004952A6"/>
    <w:rsid w:val="007606D6"/>
    <w:rsid w:val="008D0AF0"/>
    <w:rsid w:val="00A115D7"/>
    <w:rsid w:val="00A63B71"/>
    <w:rsid w:val="00C25FE1"/>
    <w:rsid w:val="00E30B90"/>
    <w:rsid w:val="00EF3236"/>
    <w:rsid w:val="00F23D9F"/>
    <w:rsid w:val="00FF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720C"/>
  <w15:chartTrackingRefBased/>
  <w15:docId w15:val="{F1D5F884-9238-484F-B24D-5200032B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32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32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2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323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F32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52A6"/>
    <w:rPr>
      <w:color w:val="0563C1" w:themeColor="hyperlink"/>
      <w:u w:val="single"/>
    </w:rPr>
  </w:style>
  <w:style w:type="character" w:styleId="FollowedHyperlink">
    <w:name w:val="FollowedHyperlink"/>
    <w:basedOn w:val="DefaultParagraphFont"/>
    <w:uiPriority w:val="99"/>
    <w:semiHidden/>
    <w:unhideWhenUsed/>
    <w:rsid w:val="00C25F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8191">
      <w:bodyDiv w:val="1"/>
      <w:marLeft w:val="0"/>
      <w:marRight w:val="0"/>
      <w:marTop w:val="0"/>
      <w:marBottom w:val="0"/>
      <w:divBdr>
        <w:top w:val="none" w:sz="0" w:space="0" w:color="auto"/>
        <w:left w:val="none" w:sz="0" w:space="0" w:color="auto"/>
        <w:bottom w:val="none" w:sz="0" w:space="0" w:color="auto"/>
        <w:right w:val="none" w:sz="0" w:space="0" w:color="auto"/>
      </w:divBdr>
    </w:div>
    <w:div w:id="97261132">
      <w:bodyDiv w:val="1"/>
      <w:marLeft w:val="0"/>
      <w:marRight w:val="0"/>
      <w:marTop w:val="0"/>
      <w:marBottom w:val="0"/>
      <w:divBdr>
        <w:top w:val="none" w:sz="0" w:space="0" w:color="auto"/>
        <w:left w:val="none" w:sz="0" w:space="0" w:color="auto"/>
        <w:bottom w:val="none" w:sz="0" w:space="0" w:color="auto"/>
        <w:right w:val="none" w:sz="0" w:space="0" w:color="auto"/>
      </w:divBdr>
    </w:div>
    <w:div w:id="106316236">
      <w:bodyDiv w:val="1"/>
      <w:marLeft w:val="0"/>
      <w:marRight w:val="0"/>
      <w:marTop w:val="0"/>
      <w:marBottom w:val="0"/>
      <w:divBdr>
        <w:top w:val="none" w:sz="0" w:space="0" w:color="auto"/>
        <w:left w:val="none" w:sz="0" w:space="0" w:color="auto"/>
        <w:bottom w:val="none" w:sz="0" w:space="0" w:color="auto"/>
        <w:right w:val="none" w:sz="0" w:space="0" w:color="auto"/>
      </w:divBdr>
    </w:div>
    <w:div w:id="122575178">
      <w:bodyDiv w:val="1"/>
      <w:marLeft w:val="0"/>
      <w:marRight w:val="0"/>
      <w:marTop w:val="0"/>
      <w:marBottom w:val="0"/>
      <w:divBdr>
        <w:top w:val="none" w:sz="0" w:space="0" w:color="auto"/>
        <w:left w:val="none" w:sz="0" w:space="0" w:color="auto"/>
        <w:bottom w:val="none" w:sz="0" w:space="0" w:color="auto"/>
        <w:right w:val="none" w:sz="0" w:space="0" w:color="auto"/>
      </w:divBdr>
    </w:div>
    <w:div w:id="178786429">
      <w:bodyDiv w:val="1"/>
      <w:marLeft w:val="0"/>
      <w:marRight w:val="0"/>
      <w:marTop w:val="0"/>
      <w:marBottom w:val="0"/>
      <w:divBdr>
        <w:top w:val="none" w:sz="0" w:space="0" w:color="auto"/>
        <w:left w:val="none" w:sz="0" w:space="0" w:color="auto"/>
        <w:bottom w:val="none" w:sz="0" w:space="0" w:color="auto"/>
        <w:right w:val="none" w:sz="0" w:space="0" w:color="auto"/>
      </w:divBdr>
      <w:divsChild>
        <w:div w:id="1670450340">
          <w:marLeft w:val="360"/>
          <w:marRight w:val="0"/>
          <w:marTop w:val="200"/>
          <w:marBottom w:val="0"/>
          <w:divBdr>
            <w:top w:val="none" w:sz="0" w:space="0" w:color="auto"/>
            <w:left w:val="none" w:sz="0" w:space="0" w:color="auto"/>
            <w:bottom w:val="none" w:sz="0" w:space="0" w:color="auto"/>
            <w:right w:val="none" w:sz="0" w:space="0" w:color="auto"/>
          </w:divBdr>
        </w:div>
      </w:divsChild>
    </w:div>
    <w:div w:id="309024749">
      <w:bodyDiv w:val="1"/>
      <w:marLeft w:val="0"/>
      <w:marRight w:val="0"/>
      <w:marTop w:val="0"/>
      <w:marBottom w:val="0"/>
      <w:divBdr>
        <w:top w:val="none" w:sz="0" w:space="0" w:color="auto"/>
        <w:left w:val="none" w:sz="0" w:space="0" w:color="auto"/>
        <w:bottom w:val="none" w:sz="0" w:space="0" w:color="auto"/>
        <w:right w:val="none" w:sz="0" w:space="0" w:color="auto"/>
      </w:divBdr>
    </w:div>
    <w:div w:id="361903076">
      <w:bodyDiv w:val="1"/>
      <w:marLeft w:val="0"/>
      <w:marRight w:val="0"/>
      <w:marTop w:val="0"/>
      <w:marBottom w:val="0"/>
      <w:divBdr>
        <w:top w:val="none" w:sz="0" w:space="0" w:color="auto"/>
        <w:left w:val="none" w:sz="0" w:space="0" w:color="auto"/>
        <w:bottom w:val="none" w:sz="0" w:space="0" w:color="auto"/>
        <w:right w:val="none" w:sz="0" w:space="0" w:color="auto"/>
      </w:divBdr>
    </w:div>
    <w:div w:id="408775173">
      <w:bodyDiv w:val="1"/>
      <w:marLeft w:val="0"/>
      <w:marRight w:val="0"/>
      <w:marTop w:val="0"/>
      <w:marBottom w:val="0"/>
      <w:divBdr>
        <w:top w:val="none" w:sz="0" w:space="0" w:color="auto"/>
        <w:left w:val="none" w:sz="0" w:space="0" w:color="auto"/>
        <w:bottom w:val="none" w:sz="0" w:space="0" w:color="auto"/>
        <w:right w:val="none" w:sz="0" w:space="0" w:color="auto"/>
      </w:divBdr>
    </w:div>
    <w:div w:id="410279256">
      <w:bodyDiv w:val="1"/>
      <w:marLeft w:val="0"/>
      <w:marRight w:val="0"/>
      <w:marTop w:val="0"/>
      <w:marBottom w:val="0"/>
      <w:divBdr>
        <w:top w:val="none" w:sz="0" w:space="0" w:color="auto"/>
        <w:left w:val="none" w:sz="0" w:space="0" w:color="auto"/>
        <w:bottom w:val="none" w:sz="0" w:space="0" w:color="auto"/>
        <w:right w:val="none" w:sz="0" w:space="0" w:color="auto"/>
      </w:divBdr>
      <w:divsChild>
        <w:div w:id="555968493">
          <w:marLeft w:val="360"/>
          <w:marRight w:val="0"/>
          <w:marTop w:val="200"/>
          <w:marBottom w:val="0"/>
          <w:divBdr>
            <w:top w:val="none" w:sz="0" w:space="0" w:color="auto"/>
            <w:left w:val="none" w:sz="0" w:space="0" w:color="auto"/>
            <w:bottom w:val="none" w:sz="0" w:space="0" w:color="auto"/>
            <w:right w:val="none" w:sz="0" w:space="0" w:color="auto"/>
          </w:divBdr>
        </w:div>
      </w:divsChild>
    </w:div>
    <w:div w:id="442506500">
      <w:bodyDiv w:val="1"/>
      <w:marLeft w:val="0"/>
      <w:marRight w:val="0"/>
      <w:marTop w:val="0"/>
      <w:marBottom w:val="0"/>
      <w:divBdr>
        <w:top w:val="none" w:sz="0" w:space="0" w:color="auto"/>
        <w:left w:val="none" w:sz="0" w:space="0" w:color="auto"/>
        <w:bottom w:val="none" w:sz="0" w:space="0" w:color="auto"/>
        <w:right w:val="none" w:sz="0" w:space="0" w:color="auto"/>
      </w:divBdr>
    </w:div>
    <w:div w:id="502400726">
      <w:bodyDiv w:val="1"/>
      <w:marLeft w:val="0"/>
      <w:marRight w:val="0"/>
      <w:marTop w:val="0"/>
      <w:marBottom w:val="0"/>
      <w:divBdr>
        <w:top w:val="none" w:sz="0" w:space="0" w:color="auto"/>
        <w:left w:val="none" w:sz="0" w:space="0" w:color="auto"/>
        <w:bottom w:val="none" w:sz="0" w:space="0" w:color="auto"/>
        <w:right w:val="none" w:sz="0" w:space="0" w:color="auto"/>
      </w:divBdr>
    </w:div>
    <w:div w:id="672537909">
      <w:bodyDiv w:val="1"/>
      <w:marLeft w:val="0"/>
      <w:marRight w:val="0"/>
      <w:marTop w:val="0"/>
      <w:marBottom w:val="0"/>
      <w:divBdr>
        <w:top w:val="none" w:sz="0" w:space="0" w:color="auto"/>
        <w:left w:val="none" w:sz="0" w:space="0" w:color="auto"/>
        <w:bottom w:val="none" w:sz="0" w:space="0" w:color="auto"/>
        <w:right w:val="none" w:sz="0" w:space="0" w:color="auto"/>
      </w:divBdr>
    </w:div>
    <w:div w:id="720443669">
      <w:bodyDiv w:val="1"/>
      <w:marLeft w:val="0"/>
      <w:marRight w:val="0"/>
      <w:marTop w:val="0"/>
      <w:marBottom w:val="0"/>
      <w:divBdr>
        <w:top w:val="none" w:sz="0" w:space="0" w:color="auto"/>
        <w:left w:val="none" w:sz="0" w:space="0" w:color="auto"/>
        <w:bottom w:val="none" w:sz="0" w:space="0" w:color="auto"/>
        <w:right w:val="none" w:sz="0" w:space="0" w:color="auto"/>
      </w:divBdr>
    </w:div>
    <w:div w:id="800608576">
      <w:bodyDiv w:val="1"/>
      <w:marLeft w:val="0"/>
      <w:marRight w:val="0"/>
      <w:marTop w:val="0"/>
      <w:marBottom w:val="0"/>
      <w:divBdr>
        <w:top w:val="none" w:sz="0" w:space="0" w:color="auto"/>
        <w:left w:val="none" w:sz="0" w:space="0" w:color="auto"/>
        <w:bottom w:val="none" w:sz="0" w:space="0" w:color="auto"/>
        <w:right w:val="none" w:sz="0" w:space="0" w:color="auto"/>
      </w:divBdr>
    </w:div>
    <w:div w:id="808523590">
      <w:bodyDiv w:val="1"/>
      <w:marLeft w:val="0"/>
      <w:marRight w:val="0"/>
      <w:marTop w:val="0"/>
      <w:marBottom w:val="0"/>
      <w:divBdr>
        <w:top w:val="none" w:sz="0" w:space="0" w:color="auto"/>
        <w:left w:val="none" w:sz="0" w:space="0" w:color="auto"/>
        <w:bottom w:val="none" w:sz="0" w:space="0" w:color="auto"/>
        <w:right w:val="none" w:sz="0" w:space="0" w:color="auto"/>
      </w:divBdr>
      <w:divsChild>
        <w:div w:id="2006124375">
          <w:marLeft w:val="360"/>
          <w:marRight w:val="0"/>
          <w:marTop w:val="200"/>
          <w:marBottom w:val="0"/>
          <w:divBdr>
            <w:top w:val="none" w:sz="0" w:space="0" w:color="auto"/>
            <w:left w:val="none" w:sz="0" w:space="0" w:color="auto"/>
            <w:bottom w:val="none" w:sz="0" w:space="0" w:color="auto"/>
            <w:right w:val="none" w:sz="0" w:space="0" w:color="auto"/>
          </w:divBdr>
        </w:div>
      </w:divsChild>
    </w:div>
    <w:div w:id="834535858">
      <w:bodyDiv w:val="1"/>
      <w:marLeft w:val="0"/>
      <w:marRight w:val="0"/>
      <w:marTop w:val="0"/>
      <w:marBottom w:val="0"/>
      <w:divBdr>
        <w:top w:val="none" w:sz="0" w:space="0" w:color="auto"/>
        <w:left w:val="none" w:sz="0" w:space="0" w:color="auto"/>
        <w:bottom w:val="none" w:sz="0" w:space="0" w:color="auto"/>
        <w:right w:val="none" w:sz="0" w:space="0" w:color="auto"/>
      </w:divBdr>
    </w:div>
    <w:div w:id="844436360">
      <w:bodyDiv w:val="1"/>
      <w:marLeft w:val="0"/>
      <w:marRight w:val="0"/>
      <w:marTop w:val="0"/>
      <w:marBottom w:val="0"/>
      <w:divBdr>
        <w:top w:val="none" w:sz="0" w:space="0" w:color="auto"/>
        <w:left w:val="none" w:sz="0" w:space="0" w:color="auto"/>
        <w:bottom w:val="none" w:sz="0" w:space="0" w:color="auto"/>
        <w:right w:val="none" w:sz="0" w:space="0" w:color="auto"/>
      </w:divBdr>
      <w:divsChild>
        <w:div w:id="1348213236">
          <w:marLeft w:val="360"/>
          <w:marRight w:val="0"/>
          <w:marTop w:val="200"/>
          <w:marBottom w:val="0"/>
          <w:divBdr>
            <w:top w:val="none" w:sz="0" w:space="0" w:color="auto"/>
            <w:left w:val="none" w:sz="0" w:space="0" w:color="auto"/>
            <w:bottom w:val="none" w:sz="0" w:space="0" w:color="auto"/>
            <w:right w:val="none" w:sz="0" w:space="0" w:color="auto"/>
          </w:divBdr>
        </w:div>
      </w:divsChild>
    </w:div>
    <w:div w:id="908881453">
      <w:bodyDiv w:val="1"/>
      <w:marLeft w:val="0"/>
      <w:marRight w:val="0"/>
      <w:marTop w:val="0"/>
      <w:marBottom w:val="0"/>
      <w:divBdr>
        <w:top w:val="none" w:sz="0" w:space="0" w:color="auto"/>
        <w:left w:val="none" w:sz="0" w:space="0" w:color="auto"/>
        <w:bottom w:val="none" w:sz="0" w:space="0" w:color="auto"/>
        <w:right w:val="none" w:sz="0" w:space="0" w:color="auto"/>
      </w:divBdr>
    </w:div>
    <w:div w:id="921915208">
      <w:bodyDiv w:val="1"/>
      <w:marLeft w:val="0"/>
      <w:marRight w:val="0"/>
      <w:marTop w:val="0"/>
      <w:marBottom w:val="0"/>
      <w:divBdr>
        <w:top w:val="none" w:sz="0" w:space="0" w:color="auto"/>
        <w:left w:val="none" w:sz="0" w:space="0" w:color="auto"/>
        <w:bottom w:val="none" w:sz="0" w:space="0" w:color="auto"/>
        <w:right w:val="none" w:sz="0" w:space="0" w:color="auto"/>
      </w:divBdr>
    </w:div>
    <w:div w:id="1047145740">
      <w:bodyDiv w:val="1"/>
      <w:marLeft w:val="0"/>
      <w:marRight w:val="0"/>
      <w:marTop w:val="0"/>
      <w:marBottom w:val="0"/>
      <w:divBdr>
        <w:top w:val="none" w:sz="0" w:space="0" w:color="auto"/>
        <w:left w:val="none" w:sz="0" w:space="0" w:color="auto"/>
        <w:bottom w:val="none" w:sz="0" w:space="0" w:color="auto"/>
        <w:right w:val="none" w:sz="0" w:space="0" w:color="auto"/>
      </w:divBdr>
    </w:div>
    <w:div w:id="1101098055">
      <w:bodyDiv w:val="1"/>
      <w:marLeft w:val="0"/>
      <w:marRight w:val="0"/>
      <w:marTop w:val="0"/>
      <w:marBottom w:val="0"/>
      <w:divBdr>
        <w:top w:val="none" w:sz="0" w:space="0" w:color="auto"/>
        <w:left w:val="none" w:sz="0" w:space="0" w:color="auto"/>
        <w:bottom w:val="none" w:sz="0" w:space="0" w:color="auto"/>
        <w:right w:val="none" w:sz="0" w:space="0" w:color="auto"/>
      </w:divBdr>
    </w:div>
    <w:div w:id="1172404911">
      <w:bodyDiv w:val="1"/>
      <w:marLeft w:val="0"/>
      <w:marRight w:val="0"/>
      <w:marTop w:val="0"/>
      <w:marBottom w:val="0"/>
      <w:divBdr>
        <w:top w:val="none" w:sz="0" w:space="0" w:color="auto"/>
        <w:left w:val="none" w:sz="0" w:space="0" w:color="auto"/>
        <w:bottom w:val="none" w:sz="0" w:space="0" w:color="auto"/>
        <w:right w:val="none" w:sz="0" w:space="0" w:color="auto"/>
      </w:divBdr>
      <w:divsChild>
        <w:div w:id="710500337">
          <w:marLeft w:val="360"/>
          <w:marRight w:val="0"/>
          <w:marTop w:val="200"/>
          <w:marBottom w:val="0"/>
          <w:divBdr>
            <w:top w:val="none" w:sz="0" w:space="0" w:color="auto"/>
            <w:left w:val="none" w:sz="0" w:space="0" w:color="auto"/>
            <w:bottom w:val="none" w:sz="0" w:space="0" w:color="auto"/>
            <w:right w:val="none" w:sz="0" w:space="0" w:color="auto"/>
          </w:divBdr>
        </w:div>
      </w:divsChild>
    </w:div>
    <w:div w:id="1177114385">
      <w:bodyDiv w:val="1"/>
      <w:marLeft w:val="0"/>
      <w:marRight w:val="0"/>
      <w:marTop w:val="0"/>
      <w:marBottom w:val="0"/>
      <w:divBdr>
        <w:top w:val="none" w:sz="0" w:space="0" w:color="auto"/>
        <w:left w:val="none" w:sz="0" w:space="0" w:color="auto"/>
        <w:bottom w:val="none" w:sz="0" w:space="0" w:color="auto"/>
        <w:right w:val="none" w:sz="0" w:space="0" w:color="auto"/>
      </w:divBdr>
    </w:div>
    <w:div w:id="1198198417">
      <w:bodyDiv w:val="1"/>
      <w:marLeft w:val="0"/>
      <w:marRight w:val="0"/>
      <w:marTop w:val="0"/>
      <w:marBottom w:val="0"/>
      <w:divBdr>
        <w:top w:val="none" w:sz="0" w:space="0" w:color="auto"/>
        <w:left w:val="none" w:sz="0" w:space="0" w:color="auto"/>
        <w:bottom w:val="none" w:sz="0" w:space="0" w:color="auto"/>
        <w:right w:val="none" w:sz="0" w:space="0" w:color="auto"/>
      </w:divBdr>
      <w:divsChild>
        <w:div w:id="880094495">
          <w:marLeft w:val="360"/>
          <w:marRight w:val="0"/>
          <w:marTop w:val="200"/>
          <w:marBottom w:val="0"/>
          <w:divBdr>
            <w:top w:val="none" w:sz="0" w:space="0" w:color="auto"/>
            <w:left w:val="none" w:sz="0" w:space="0" w:color="auto"/>
            <w:bottom w:val="none" w:sz="0" w:space="0" w:color="auto"/>
            <w:right w:val="none" w:sz="0" w:space="0" w:color="auto"/>
          </w:divBdr>
        </w:div>
        <w:div w:id="546841638">
          <w:marLeft w:val="360"/>
          <w:marRight w:val="0"/>
          <w:marTop w:val="200"/>
          <w:marBottom w:val="0"/>
          <w:divBdr>
            <w:top w:val="none" w:sz="0" w:space="0" w:color="auto"/>
            <w:left w:val="none" w:sz="0" w:space="0" w:color="auto"/>
            <w:bottom w:val="none" w:sz="0" w:space="0" w:color="auto"/>
            <w:right w:val="none" w:sz="0" w:space="0" w:color="auto"/>
          </w:divBdr>
        </w:div>
      </w:divsChild>
    </w:div>
    <w:div w:id="1319990701">
      <w:bodyDiv w:val="1"/>
      <w:marLeft w:val="0"/>
      <w:marRight w:val="0"/>
      <w:marTop w:val="0"/>
      <w:marBottom w:val="0"/>
      <w:divBdr>
        <w:top w:val="none" w:sz="0" w:space="0" w:color="auto"/>
        <w:left w:val="none" w:sz="0" w:space="0" w:color="auto"/>
        <w:bottom w:val="none" w:sz="0" w:space="0" w:color="auto"/>
        <w:right w:val="none" w:sz="0" w:space="0" w:color="auto"/>
      </w:divBdr>
    </w:div>
    <w:div w:id="1403215117">
      <w:bodyDiv w:val="1"/>
      <w:marLeft w:val="0"/>
      <w:marRight w:val="0"/>
      <w:marTop w:val="0"/>
      <w:marBottom w:val="0"/>
      <w:divBdr>
        <w:top w:val="none" w:sz="0" w:space="0" w:color="auto"/>
        <w:left w:val="none" w:sz="0" w:space="0" w:color="auto"/>
        <w:bottom w:val="none" w:sz="0" w:space="0" w:color="auto"/>
        <w:right w:val="none" w:sz="0" w:space="0" w:color="auto"/>
      </w:divBdr>
    </w:div>
    <w:div w:id="1492717068">
      <w:bodyDiv w:val="1"/>
      <w:marLeft w:val="0"/>
      <w:marRight w:val="0"/>
      <w:marTop w:val="0"/>
      <w:marBottom w:val="0"/>
      <w:divBdr>
        <w:top w:val="none" w:sz="0" w:space="0" w:color="auto"/>
        <w:left w:val="none" w:sz="0" w:space="0" w:color="auto"/>
        <w:bottom w:val="none" w:sz="0" w:space="0" w:color="auto"/>
        <w:right w:val="none" w:sz="0" w:space="0" w:color="auto"/>
      </w:divBdr>
    </w:div>
    <w:div w:id="1501965650">
      <w:bodyDiv w:val="1"/>
      <w:marLeft w:val="0"/>
      <w:marRight w:val="0"/>
      <w:marTop w:val="0"/>
      <w:marBottom w:val="0"/>
      <w:divBdr>
        <w:top w:val="none" w:sz="0" w:space="0" w:color="auto"/>
        <w:left w:val="none" w:sz="0" w:space="0" w:color="auto"/>
        <w:bottom w:val="none" w:sz="0" w:space="0" w:color="auto"/>
        <w:right w:val="none" w:sz="0" w:space="0" w:color="auto"/>
      </w:divBdr>
      <w:divsChild>
        <w:div w:id="1066487472">
          <w:marLeft w:val="360"/>
          <w:marRight w:val="0"/>
          <w:marTop w:val="200"/>
          <w:marBottom w:val="0"/>
          <w:divBdr>
            <w:top w:val="none" w:sz="0" w:space="0" w:color="auto"/>
            <w:left w:val="none" w:sz="0" w:space="0" w:color="auto"/>
            <w:bottom w:val="none" w:sz="0" w:space="0" w:color="auto"/>
            <w:right w:val="none" w:sz="0" w:space="0" w:color="auto"/>
          </w:divBdr>
        </w:div>
      </w:divsChild>
    </w:div>
    <w:div w:id="1525628430">
      <w:bodyDiv w:val="1"/>
      <w:marLeft w:val="0"/>
      <w:marRight w:val="0"/>
      <w:marTop w:val="0"/>
      <w:marBottom w:val="0"/>
      <w:divBdr>
        <w:top w:val="none" w:sz="0" w:space="0" w:color="auto"/>
        <w:left w:val="none" w:sz="0" w:space="0" w:color="auto"/>
        <w:bottom w:val="none" w:sz="0" w:space="0" w:color="auto"/>
        <w:right w:val="none" w:sz="0" w:space="0" w:color="auto"/>
      </w:divBdr>
    </w:div>
    <w:div w:id="1587610848">
      <w:bodyDiv w:val="1"/>
      <w:marLeft w:val="0"/>
      <w:marRight w:val="0"/>
      <w:marTop w:val="0"/>
      <w:marBottom w:val="0"/>
      <w:divBdr>
        <w:top w:val="none" w:sz="0" w:space="0" w:color="auto"/>
        <w:left w:val="none" w:sz="0" w:space="0" w:color="auto"/>
        <w:bottom w:val="none" w:sz="0" w:space="0" w:color="auto"/>
        <w:right w:val="none" w:sz="0" w:space="0" w:color="auto"/>
      </w:divBdr>
      <w:divsChild>
        <w:div w:id="37122298">
          <w:marLeft w:val="360"/>
          <w:marRight w:val="0"/>
          <w:marTop w:val="200"/>
          <w:marBottom w:val="0"/>
          <w:divBdr>
            <w:top w:val="none" w:sz="0" w:space="0" w:color="auto"/>
            <w:left w:val="none" w:sz="0" w:space="0" w:color="auto"/>
            <w:bottom w:val="none" w:sz="0" w:space="0" w:color="auto"/>
            <w:right w:val="none" w:sz="0" w:space="0" w:color="auto"/>
          </w:divBdr>
        </w:div>
      </w:divsChild>
    </w:div>
    <w:div w:id="1620068495">
      <w:bodyDiv w:val="1"/>
      <w:marLeft w:val="0"/>
      <w:marRight w:val="0"/>
      <w:marTop w:val="0"/>
      <w:marBottom w:val="0"/>
      <w:divBdr>
        <w:top w:val="none" w:sz="0" w:space="0" w:color="auto"/>
        <w:left w:val="none" w:sz="0" w:space="0" w:color="auto"/>
        <w:bottom w:val="none" w:sz="0" w:space="0" w:color="auto"/>
        <w:right w:val="none" w:sz="0" w:space="0" w:color="auto"/>
      </w:divBdr>
    </w:div>
    <w:div w:id="1629894823">
      <w:bodyDiv w:val="1"/>
      <w:marLeft w:val="0"/>
      <w:marRight w:val="0"/>
      <w:marTop w:val="0"/>
      <w:marBottom w:val="0"/>
      <w:divBdr>
        <w:top w:val="none" w:sz="0" w:space="0" w:color="auto"/>
        <w:left w:val="none" w:sz="0" w:space="0" w:color="auto"/>
        <w:bottom w:val="none" w:sz="0" w:space="0" w:color="auto"/>
        <w:right w:val="none" w:sz="0" w:space="0" w:color="auto"/>
      </w:divBdr>
    </w:div>
    <w:div w:id="1669089348">
      <w:bodyDiv w:val="1"/>
      <w:marLeft w:val="0"/>
      <w:marRight w:val="0"/>
      <w:marTop w:val="0"/>
      <w:marBottom w:val="0"/>
      <w:divBdr>
        <w:top w:val="none" w:sz="0" w:space="0" w:color="auto"/>
        <w:left w:val="none" w:sz="0" w:space="0" w:color="auto"/>
        <w:bottom w:val="none" w:sz="0" w:space="0" w:color="auto"/>
        <w:right w:val="none" w:sz="0" w:space="0" w:color="auto"/>
      </w:divBdr>
      <w:divsChild>
        <w:div w:id="2032218847">
          <w:marLeft w:val="360"/>
          <w:marRight w:val="0"/>
          <w:marTop w:val="200"/>
          <w:marBottom w:val="0"/>
          <w:divBdr>
            <w:top w:val="none" w:sz="0" w:space="0" w:color="auto"/>
            <w:left w:val="none" w:sz="0" w:space="0" w:color="auto"/>
            <w:bottom w:val="none" w:sz="0" w:space="0" w:color="auto"/>
            <w:right w:val="none" w:sz="0" w:space="0" w:color="auto"/>
          </w:divBdr>
        </w:div>
        <w:div w:id="1123303011">
          <w:marLeft w:val="360"/>
          <w:marRight w:val="0"/>
          <w:marTop w:val="200"/>
          <w:marBottom w:val="0"/>
          <w:divBdr>
            <w:top w:val="none" w:sz="0" w:space="0" w:color="auto"/>
            <w:left w:val="none" w:sz="0" w:space="0" w:color="auto"/>
            <w:bottom w:val="none" w:sz="0" w:space="0" w:color="auto"/>
            <w:right w:val="none" w:sz="0" w:space="0" w:color="auto"/>
          </w:divBdr>
        </w:div>
        <w:div w:id="683672142">
          <w:marLeft w:val="360"/>
          <w:marRight w:val="0"/>
          <w:marTop w:val="200"/>
          <w:marBottom w:val="0"/>
          <w:divBdr>
            <w:top w:val="none" w:sz="0" w:space="0" w:color="auto"/>
            <w:left w:val="none" w:sz="0" w:space="0" w:color="auto"/>
            <w:bottom w:val="none" w:sz="0" w:space="0" w:color="auto"/>
            <w:right w:val="none" w:sz="0" w:space="0" w:color="auto"/>
          </w:divBdr>
        </w:div>
      </w:divsChild>
    </w:div>
    <w:div w:id="1838576932">
      <w:bodyDiv w:val="1"/>
      <w:marLeft w:val="0"/>
      <w:marRight w:val="0"/>
      <w:marTop w:val="0"/>
      <w:marBottom w:val="0"/>
      <w:divBdr>
        <w:top w:val="none" w:sz="0" w:space="0" w:color="auto"/>
        <w:left w:val="none" w:sz="0" w:space="0" w:color="auto"/>
        <w:bottom w:val="none" w:sz="0" w:space="0" w:color="auto"/>
        <w:right w:val="none" w:sz="0" w:space="0" w:color="auto"/>
      </w:divBdr>
    </w:div>
    <w:div w:id="1927956476">
      <w:bodyDiv w:val="1"/>
      <w:marLeft w:val="0"/>
      <w:marRight w:val="0"/>
      <w:marTop w:val="0"/>
      <w:marBottom w:val="0"/>
      <w:divBdr>
        <w:top w:val="none" w:sz="0" w:space="0" w:color="auto"/>
        <w:left w:val="none" w:sz="0" w:space="0" w:color="auto"/>
        <w:bottom w:val="none" w:sz="0" w:space="0" w:color="auto"/>
        <w:right w:val="none" w:sz="0" w:space="0" w:color="auto"/>
      </w:divBdr>
    </w:div>
    <w:div w:id="1966152169">
      <w:bodyDiv w:val="1"/>
      <w:marLeft w:val="0"/>
      <w:marRight w:val="0"/>
      <w:marTop w:val="0"/>
      <w:marBottom w:val="0"/>
      <w:divBdr>
        <w:top w:val="none" w:sz="0" w:space="0" w:color="auto"/>
        <w:left w:val="none" w:sz="0" w:space="0" w:color="auto"/>
        <w:bottom w:val="none" w:sz="0" w:space="0" w:color="auto"/>
        <w:right w:val="none" w:sz="0" w:space="0" w:color="auto"/>
      </w:divBdr>
    </w:div>
    <w:div w:id="1967277420">
      <w:bodyDiv w:val="1"/>
      <w:marLeft w:val="0"/>
      <w:marRight w:val="0"/>
      <w:marTop w:val="0"/>
      <w:marBottom w:val="0"/>
      <w:divBdr>
        <w:top w:val="none" w:sz="0" w:space="0" w:color="auto"/>
        <w:left w:val="none" w:sz="0" w:space="0" w:color="auto"/>
        <w:bottom w:val="none" w:sz="0" w:space="0" w:color="auto"/>
        <w:right w:val="none" w:sz="0" w:space="0" w:color="auto"/>
      </w:divBdr>
      <w:divsChild>
        <w:div w:id="1307853535">
          <w:marLeft w:val="360"/>
          <w:marRight w:val="0"/>
          <w:marTop w:val="200"/>
          <w:marBottom w:val="0"/>
          <w:divBdr>
            <w:top w:val="none" w:sz="0" w:space="0" w:color="auto"/>
            <w:left w:val="none" w:sz="0" w:space="0" w:color="auto"/>
            <w:bottom w:val="none" w:sz="0" w:space="0" w:color="auto"/>
            <w:right w:val="none" w:sz="0" w:space="0" w:color="auto"/>
          </w:divBdr>
        </w:div>
      </w:divsChild>
    </w:div>
    <w:div w:id="2004625220">
      <w:bodyDiv w:val="1"/>
      <w:marLeft w:val="0"/>
      <w:marRight w:val="0"/>
      <w:marTop w:val="0"/>
      <w:marBottom w:val="0"/>
      <w:divBdr>
        <w:top w:val="none" w:sz="0" w:space="0" w:color="auto"/>
        <w:left w:val="none" w:sz="0" w:space="0" w:color="auto"/>
        <w:bottom w:val="none" w:sz="0" w:space="0" w:color="auto"/>
        <w:right w:val="none" w:sz="0" w:space="0" w:color="auto"/>
      </w:divBdr>
    </w:div>
    <w:div w:id="2037073787">
      <w:bodyDiv w:val="1"/>
      <w:marLeft w:val="0"/>
      <w:marRight w:val="0"/>
      <w:marTop w:val="0"/>
      <w:marBottom w:val="0"/>
      <w:divBdr>
        <w:top w:val="none" w:sz="0" w:space="0" w:color="auto"/>
        <w:left w:val="none" w:sz="0" w:space="0" w:color="auto"/>
        <w:bottom w:val="none" w:sz="0" w:space="0" w:color="auto"/>
        <w:right w:val="none" w:sz="0" w:space="0" w:color="auto"/>
      </w:divBdr>
    </w:div>
    <w:div w:id="2053069872">
      <w:bodyDiv w:val="1"/>
      <w:marLeft w:val="0"/>
      <w:marRight w:val="0"/>
      <w:marTop w:val="0"/>
      <w:marBottom w:val="0"/>
      <w:divBdr>
        <w:top w:val="none" w:sz="0" w:space="0" w:color="auto"/>
        <w:left w:val="none" w:sz="0" w:space="0" w:color="auto"/>
        <w:bottom w:val="none" w:sz="0" w:space="0" w:color="auto"/>
        <w:right w:val="none" w:sz="0" w:space="0" w:color="auto"/>
      </w:divBdr>
    </w:div>
    <w:div w:id="2060400115">
      <w:bodyDiv w:val="1"/>
      <w:marLeft w:val="0"/>
      <w:marRight w:val="0"/>
      <w:marTop w:val="0"/>
      <w:marBottom w:val="0"/>
      <w:divBdr>
        <w:top w:val="none" w:sz="0" w:space="0" w:color="auto"/>
        <w:left w:val="none" w:sz="0" w:space="0" w:color="auto"/>
        <w:bottom w:val="none" w:sz="0" w:space="0" w:color="auto"/>
        <w:right w:val="none" w:sz="0" w:space="0" w:color="auto"/>
      </w:divBdr>
    </w:div>
    <w:div w:id="2074888405">
      <w:bodyDiv w:val="1"/>
      <w:marLeft w:val="0"/>
      <w:marRight w:val="0"/>
      <w:marTop w:val="0"/>
      <w:marBottom w:val="0"/>
      <w:divBdr>
        <w:top w:val="none" w:sz="0" w:space="0" w:color="auto"/>
        <w:left w:val="none" w:sz="0" w:space="0" w:color="auto"/>
        <w:bottom w:val="none" w:sz="0" w:space="0" w:color="auto"/>
        <w:right w:val="none" w:sz="0" w:space="0" w:color="auto"/>
      </w:divBdr>
      <w:divsChild>
        <w:div w:id="7429947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sticalatlas.com/United-States/Overview" TargetMode="External"/><Relationship Id="rId13" Type="http://schemas.openxmlformats.org/officeDocument/2006/relationships/hyperlink" Target="https://www2.ed.gov/about/reports/annual/osep/2018/parts-b-c/40th-arc-for-idea.pdf" TargetMode="External"/><Relationship Id="rId18" Type="http://schemas.openxmlformats.org/officeDocument/2006/relationships/hyperlink" Target="mailto:acastillo-epps@nacdd.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sabilitycompendium.org/sites/default/files/user-uploads/2018_Compendium_Accessible_AbobeReaderFriendly.pdf" TargetMode="External"/><Relationship Id="rId17" Type="http://schemas.openxmlformats.org/officeDocument/2006/relationships/hyperlink" Target="https://www.countyhealthrankings.org/reports/2019-county-health-rankings-key-findings-report" TargetMode="External"/><Relationship Id="rId2" Type="http://schemas.openxmlformats.org/officeDocument/2006/relationships/customXml" Target="../customXml/item2.xml"/><Relationship Id="rId16" Type="http://schemas.openxmlformats.org/officeDocument/2006/relationships/hyperlink" Target="https://www.countyhealthrankings.org/reports/2019-county-health-rankings-key-findings-re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sabilitycompendium.org/sites/default/files/user-uploads/2018_Compendium_Accessible_AbobeReaderFriendly.pdf" TargetMode="External"/><Relationship Id="rId5" Type="http://schemas.openxmlformats.org/officeDocument/2006/relationships/styles" Target="styles.xml"/><Relationship Id="rId15" Type="http://schemas.openxmlformats.org/officeDocument/2006/relationships/hyperlink" Target="https://www2.ed.gov/about/reports/annual/osep/2018/parts-b-c/40th-arc-for-idea.pdf" TargetMode="External"/><Relationship Id="rId10" Type="http://schemas.openxmlformats.org/officeDocument/2006/relationships/hyperlink" Target="https://www.nationalcoreindicators.org/upload/core-indicators/NCI_AtAGlanceReport_1718_Final_May2019.pdf" TargetMode="External"/><Relationship Id="rId19" Type="http://schemas.openxmlformats.org/officeDocument/2006/relationships/hyperlink" Target="mailto:acastillo-epps@nacdd.org" TargetMode="External"/><Relationship Id="rId4" Type="http://schemas.openxmlformats.org/officeDocument/2006/relationships/numbering" Target="numbering.xml"/><Relationship Id="rId9" Type="http://schemas.openxmlformats.org/officeDocument/2006/relationships/hyperlink" Target="https://statisticalatlas.com/United-States/Overview" TargetMode="External"/><Relationship Id="rId14" Type="http://schemas.openxmlformats.org/officeDocument/2006/relationships/hyperlink" Target="https://www2.ed.gov/about/reports/annual/osep/2018/parts-b-c/40th-arc-for-id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4CF12-AB7E-46EA-864B-143D73C24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8EC3C-A418-4EB3-810E-DE14005EF397}">
  <ds:schemaRefs>
    <ds:schemaRef ds:uri="http://schemas.microsoft.com/sharepoint/v3/contenttype/forms"/>
  </ds:schemaRefs>
</ds:datastoreItem>
</file>

<file path=customXml/itemProps3.xml><?xml version="1.0" encoding="utf-8"?>
<ds:datastoreItem xmlns:ds="http://schemas.openxmlformats.org/officeDocument/2006/customXml" ds:itemID="{79434FFC-8F5A-4971-B368-F94BBC08305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244ee07-bebb-4256-851d-8920eeb3e1b7"/>
    <ds:schemaRef ds:uri="560c9c75-9737-4a47-90d7-3192440b0b5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Castillo-Epps</dc:creator>
  <cp:keywords/>
  <dc:description/>
  <cp:lastModifiedBy>Angela Castillo-Epps</cp:lastModifiedBy>
  <cp:revision>2</cp:revision>
  <dcterms:created xsi:type="dcterms:W3CDTF">2020-01-09T19:53:00Z</dcterms:created>
  <dcterms:modified xsi:type="dcterms:W3CDTF">2020-01-09T19:53:00Z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