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1C" w:rsidRPr="004D4E22" w:rsidRDefault="004C3370" w:rsidP="004D4E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D4E22">
        <w:rPr>
          <w:b/>
          <w:sz w:val="28"/>
          <w:szCs w:val="28"/>
        </w:rPr>
        <w:t>New Medicare Card</w:t>
      </w:r>
    </w:p>
    <w:p w:rsidR="004D4E22" w:rsidRPr="004D4E22" w:rsidRDefault="004C3370" w:rsidP="004D4E22">
      <w:pPr>
        <w:spacing w:after="0"/>
        <w:jc w:val="center"/>
        <w:rPr>
          <w:b/>
          <w:sz w:val="28"/>
          <w:szCs w:val="28"/>
        </w:rPr>
      </w:pPr>
      <w:r w:rsidRPr="004D4E22">
        <w:rPr>
          <w:b/>
          <w:sz w:val="28"/>
          <w:szCs w:val="28"/>
        </w:rPr>
        <w:t>Mailing Strategy</w:t>
      </w:r>
    </w:p>
    <w:p w:rsidR="00725A1C" w:rsidRPr="004D4E22" w:rsidRDefault="00725A1C">
      <w:pPr>
        <w:rPr>
          <w:sz w:val="24"/>
          <w:szCs w:val="24"/>
        </w:rPr>
      </w:pPr>
      <w:r w:rsidRPr="004D4E22">
        <w:rPr>
          <w:rFonts w:cs="Arial"/>
          <w:color w:val="000000"/>
          <w:sz w:val="24"/>
          <w:szCs w:val="24"/>
          <w:shd w:val="clear" w:color="auto" w:fill="FFFFFF"/>
        </w:rPr>
        <w:t>The </w:t>
      </w:r>
      <w:r w:rsidR="007E7488" w:rsidRPr="004D4E22">
        <w:rPr>
          <w:sz w:val="24"/>
          <w:szCs w:val="24"/>
        </w:rPr>
        <w:t xml:space="preserve">Centers for Medicare &amp; Medicaid Services (CMS) is required </w:t>
      </w:r>
      <w:r w:rsidRPr="004D4E22">
        <w:rPr>
          <w:rFonts w:cs="Arial"/>
          <w:color w:val="000000"/>
          <w:sz w:val="24"/>
          <w:szCs w:val="24"/>
          <w:shd w:val="clear" w:color="auto" w:fill="FFFFFF"/>
        </w:rPr>
        <w:t>to remove Social Security Numbers (SSNs) from all M</w:t>
      </w:r>
      <w:r w:rsidR="007E7488" w:rsidRPr="004D4E22">
        <w:rPr>
          <w:rFonts w:cs="Arial"/>
          <w:color w:val="000000"/>
          <w:sz w:val="24"/>
          <w:szCs w:val="24"/>
          <w:shd w:val="clear" w:color="auto" w:fill="FFFFFF"/>
        </w:rPr>
        <w:t>edicare cards by April 2019. A n</w:t>
      </w:r>
      <w:r w:rsidRPr="004D4E22">
        <w:rPr>
          <w:rFonts w:cs="Arial"/>
          <w:color w:val="000000"/>
          <w:sz w:val="24"/>
          <w:szCs w:val="24"/>
          <w:shd w:val="clear" w:color="auto" w:fill="FFFFFF"/>
        </w:rPr>
        <w:t>ew</w:t>
      </w:r>
      <w:r w:rsidR="007E7488" w:rsidRPr="004D4E22">
        <w:rPr>
          <w:rFonts w:cs="Arial"/>
          <w:color w:val="000000"/>
          <w:sz w:val="24"/>
          <w:szCs w:val="24"/>
          <w:shd w:val="clear" w:color="auto" w:fill="FFFFFF"/>
        </w:rPr>
        <w:t>, unique</w:t>
      </w:r>
      <w:r w:rsidRPr="004D4E22">
        <w:rPr>
          <w:rFonts w:cs="Arial"/>
          <w:color w:val="000000"/>
          <w:sz w:val="24"/>
          <w:szCs w:val="24"/>
          <w:shd w:val="clear" w:color="auto" w:fill="FFFFFF"/>
        </w:rPr>
        <w:t xml:space="preserve"> Medicare </w:t>
      </w:r>
      <w:r w:rsidR="007E7488" w:rsidRPr="004D4E22">
        <w:rPr>
          <w:rFonts w:cs="Arial"/>
          <w:color w:val="000000"/>
          <w:sz w:val="24"/>
          <w:szCs w:val="24"/>
          <w:shd w:val="clear" w:color="auto" w:fill="FFFFFF"/>
        </w:rPr>
        <w:t>Number</w:t>
      </w:r>
      <w:r w:rsidRPr="004D4E22">
        <w:rPr>
          <w:rFonts w:cs="Arial"/>
          <w:color w:val="000000"/>
          <w:sz w:val="24"/>
          <w:szCs w:val="24"/>
          <w:shd w:val="clear" w:color="auto" w:fill="FFFFFF"/>
        </w:rPr>
        <w:t xml:space="preserve"> will replace the SSN-based Health Insurance Claim Number (HICN) on </w:t>
      </w:r>
      <w:r w:rsidR="007E7488" w:rsidRPr="004D4E22">
        <w:rPr>
          <w:rFonts w:cs="Arial"/>
          <w:color w:val="000000"/>
          <w:sz w:val="24"/>
          <w:szCs w:val="24"/>
          <w:shd w:val="clear" w:color="auto" w:fill="FFFFFF"/>
        </w:rPr>
        <w:t>each</w:t>
      </w:r>
      <w:r w:rsidRPr="004D4E22">
        <w:rPr>
          <w:rFonts w:cs="Arial"/>
          <w:color w:val="000000"/>
          <w:sz w:val="24"/>
          <w:szCs w:val="24"/>
          <w:shd w:val="clear" w:color="auto" w:fill="FFFFFF"/>
        </w:rPr>
        <w:t xml:space="preserve"> new Medicare card</w:t>
      </w:r>
      <w:r w:rsidR="007E7488" w:rsidRPr="004D4E22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4D4E22">
        <w:rPr>
          <w:sz w:val="24"/>
          <w:szCs w:val="24"/>
        </w:rPr>
        <w:t xml:space="preserve">Starting April 2018, CMS will begin mailing new Medicare cards </w:t>
      </w:r>
      <w:r w:rsidR="007E7488" w:rsidRPr="004D4E22">
        <w:rPr>
          <w:sz w:val="24"/>
          <w:szCs w:val="24"/>
        </w:rPr>
        <w:t>to all people with Medicare on a flow basis</w:t>
      </w:r>
      <w:r w:rsidR="0045069B">
        <w:rPr>
          <w:sz w:val="24"/>
          <w:szCs w:val="24"/>
        </w:rPr>
        <w:t xml:space="preserve"> by</w:t>
      </w:r>
      <w:r w:rsidR="007E7488" w:rsidRPr="004D4E22">
        <w:rPr>
          <w:sz w:val="24"/>
          <w:szCs w:val="24"/>
        </w:rPr>
        <w:t xml:space="preserve"> geographic location and other factors</w:t>
      </w:r>
      <w:r w:rsidRPr="004D4E22">
        <w:rPr>
          <w:sz w:val="24"/>
          <w:szCs w:val="24"/>
        </w:rPr>
        <w:t xml:space="preserve">. </w:t>
      </w:r>
    </w:p>
    <w:p w:rsidR="007E7488" w:rsidRPr="004D4E22" w:rsidRDefault="007E7488">
      <w:pPr>
        <w:rPr>
          <w:sz w:val="24"/>
          <w:szCs w:val="24"/>
        </w:rPr>
      </w:pPr>
      <w:r w:rsidRPr="004D4E22">
        <w:rPr>
          <w:sz w:val="24"/>
          <w:szCs w:val="24"/>
        </w:rPr>
        <w:t>These mailings will follow the sequence outlined below. Additional details on timing will be avai</w:t>
      </w:r>
      <w:r w:rsidR="00D27F50">
        <w:rPr>
          <w:sz w:val="24"/>
          <w:szCs w:val="24"/>
        </w:rPr>
        <w:t>lable as the mailings progress</w:t>
      </w:r>
      <w:r w:rsidRPr="004D4E22">
        <w:rPr>
          <w:sz w:val="24"/>
          <w:szCs w:val="24"/>
        </w:rPr>
        <w:t xml:space="preserve">.  Starting in April 2018, people with Medicare will be able to check the status of card mailings in their </w:t>
      </w:r>
      <w:r w:rsidR="004D4E22">
        <w:rPr>
          <w:sz w:val="24"/>
          <w:szCs w:val="24"/>
        </w:rPr>
        <w:t>area</w:t>
      </w:r>
      <w:r w:rsidRPr="004D4E22">
        <w:rPr>
          <w:sz w:val="24"/>
          <w:szCs w:val="24"/>
        </w:rPr>
        <w:t xml:space="preserve"> on Medicare.gov.</w:t>
      </w:r>
    </w:p>
    <w:p w:rsidR="007E7488" w:rsidRPr="004D4E22" w:rsidRDefault="007E7488">
      <w:pPr>
        <w:rPr>
          <w:sz w:val="24"/>
          <w:szCs w:val="24"/>
        </w:rPr>
      </w:pPr>
    </w:p>
    <w:p w:rsidR="007E7488" w:rsidRPr="004D4E22" w:rsidRDefault="007E7488">
      <w:pPr>
        <w:rPr>
          <w:b/>
          <w:sz w:val="24"/>
          <w:szCs w:val="24"/>
        </w:rPr>
      </w:pPr>
      <w:r w:rsidRPr="004D4E22">
        <w:rPr>
          <w:b/>
          <w:sz w:val="24"/>
          <w:szCs w:val="24"/>
        </w:rPr>
        <w:t>New Medicare Card Mailing Waves</w:t>
      </w:r>
    </w:p>
    <w:tbl>
      <w:tblPr>
        <w:tblStyle w:val="MediumShading2-Accent5"/>
        <w:tblW w:w="4841" w:type="pct"/>
        <w:tblLook w:val="0660" w:firstRow="1" w:lastRow="1" w:firstColumn="0" w:lastColumn="0" w:noHBand="1" w:noVBand="1"/>
      </w:tblPr>
      <w:tblGrid>
        <w:gridCol w:w="1745"/>
        <w:gridCol w:w="5186"/>
        <w:gridCol w:w="2828"/>
      </w:tblGrid>
      <w:tr w:rsidR="007E7488" w:rsidRPr="004D4E22" w:rsidTr="0050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894" w:type="pct"/>
            <w:noWrap/>
          </w:tcPr>
          <w:p w:rsidR="007E7488" w:rsidRPr="004D4E22" w:rsidRDefault="007E748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Wave</w:t>
            </w:r>
          </w:p>
        </w:tc>
        <w:tc>
          <w:tcPr>
            <w:tcW w:w="2657" w:type="pct"/>
          </w:tcPr>
          <w:p w:rsidR="007E7488" w:rsidRPr="004D4E22" w:rsidRDefault="007E748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States Included</w:t>
            </w:r>
          </w:p>
        </w:tc>
        <w:tc>
          <w:tcPr>
            <w:tcW w:w="1449" w:type="pct"/>
          </w:tcPr>
          <w:p w:rsidR="007E7488" w:rsidRPr="004D4E22" w:rsidRDefault="007E748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Cards Mailing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220"/>
        <w:gridCol w:w="2790"/>
      </w:tblGrid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Delaware, District of Columbia, Maryland, Pennsylvania, Virginia, West Virginia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April – June 2018</w:t>
            </w:r>
          </w:p>
        </w:tc>
      </w:tr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 xml:space="preserve">Alaska, American Samoa, California, Guam, Hawaii, Northern Mariana Islands, Oregon  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April – June 2018</w:t>
            </w:r>
          </w:p>
        </w:tc>
      </w:tr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Arkansas, Illinois, Indiana, Iowa, Kansas, Minnesota, Nebraska, North Dakota, Oklahoma, South Dakota, Wisconsin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After June 2018</w:t>
            </w:r>
          </w:p>
        </w:tc>
      </w:tr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 xml:space="preserve">Connecticut, Maine, Massachusetts, New Hampshire, New Jersey, </w:t>
            </w:r>
            <w:r>
              <w:rPr>
                <w:sz w:val="24"/>
                <w:szCs w:val="24"/>
              </w:rPr>
              <w:t xml:space="preserve">New York, Rhode Island, </w:t>
            </w:r>
            <w:r w:rsidRPr="004D4E22">
              <w:rPr>
                <w:sz w:val="24"/>
                <w:szCs w:val="24"/>
              </w:rPr>
              <w:t>Vermont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After June 2018</w:t>
            </w:r>
          </w:p>
        </w:tc>
      </w:tr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  <w:lang w:val="es-US"/>
              </w:rPr>
            </w:pPr>
            <w:r w:rsidRPr="004D4E22">
              <w:rPr>
                <w:sz w:val="24"/>
                <w:szCs w:val="24"/>
              </w:rPr>
              <w:t>Alabama, Florida, Georgia, North Carolina, South Carolina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After June 2018</w:t>
            </w:r>
          </w:p>
        </w:tc>
      </w:tr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5077D8" w:rsidRPr="005077D8" w:rsidRDefault="005077D8" w:rsidP="005077D8">
            <w:pPr>
              <w:pStyle w:val="DecimalAligned"/>
              <w:rPr>
                <w:sz w:val="24"/>
                <w:szCs w:val="24"/>
                <w:lang w:val="es-US"/>
              </w:rPr>
            </w:pPr>
            <w:r w:rsidRPr="004D4E22">
              <w:rPr>
                <w:sz w:val="24"/>
                <w:szCs w:val="24"/>
                <w:lang w:val="es-US"/>
              </w:rPr>
              <w:t xml:space="preserve">Arizona, Colorado, Idaho, Montana, </w:t>
            </w:r>
            <w:r w:rsidRPr="004D4E22">
              <w:rPr>
                <w:sz w:val="24"/>
                <w:szCs w:val="24"/>
                <w:lang w:val="es-US"/>
              </w:rPr>
              <w:tab/>
              <w:t>Nevada, New Mexico, Texas,</w:t>
            </w:r>
            <w:r>
              <w:rPr>
                <w:sz w:val="24"/>
                <w:szCs w:val="24"/>
                <w:lang w:val="es-US"/>
              </w:rPr>
              <w:t xml:space="preserve"> </w:t>
            </w:r>
            <w:r w:rsidRPr="004D4E22">
              <w:rPr>
                <w:sz w:val="24"/>
                <w:szCs w:val="24"/>
                <w:lang w:val="es-US"/>
              </w:rPr>
              <w:t xml:space="preserve">Utah, </w:t>
            </w:r>
            <w:r>
              <w:rPr>
                <w:sz w:val="24"/>
                <w:szCs w:val="24"/>
                <w:lang w:val="es-US"/>
              </w:rPr>
              <w:t>Washington, W</w:t>
            </w:r>
            <w:r w:rsidRPr="004D4E22">
              <w:rPr>
                <w:sz w:val="24"/>
                <w:szCs w:val="24"/>
                <w:lang w:val="es-US"/>
              </w:rPr>
              <w:t>yoming</w:t>
            </w:r>
            <w:r w:rsidRPr="005077D8">
              <w:rPr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After June 2018</w:t>
            </w:r>
          </w:p>
        </w:tc>
      </w:tr>
      <w:tr w:rsidR="005077D8" w:rsidTr="005077D8">
        <w:tc>
          <w:tcPr>
            <w:tcW w:w="1705" w:type="dxa"/>
          </w:tcPr>
          <w:p w:rsidR="005077D8" w:rsidRPr="004D4E22" w:rsidRDefault="005077D8" w:rsidP="002B65ED">
            <w:pPr>
              <w:jc w:val="center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5077D8" w:rsidRPr="004D4E22" w:rsidRDefault="005077D8" w:rsidP="005077D8">
            <w:pPr>
              <w:pStyle w:val="DecimalAligned"/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 xml:space="preserve">Kentucky, Louisiana, Michigan, Mississippi, </w:t>
            </w:r>
            <w:r>
              <w:rPr>
                <w:sz w:val="24"/>
                <w:szCs w:val="24"/>
              </w:rPr>
              <w:t>M</w:t>
            </w:r>
            <w:r w:rsidRPr="004D4E22">
              <w:rPr>
                <w:sz w:val="24"/>
                <w:szCs w:val="24"/>
              </w:rPr>
              <w:t>issouri, Ohio, Puerto Rico, Tennessee, Virgin Islands</w:t>
            </w:r>
          </w:p>
        </w:tc>
        <w:tc>
          <w:tcPr>
            <w:tcW w:w="2790" w:type="dxa"/>
          </w:tcPr>
          <w:p w:rsidR="005077D8" w:rsidRPr="004D4E22" w:rsidRDefault="005077D8" w:rsidP="005077D8">
            <w:pPr>
              <w:rPr>
                <w:sz w:val="24"/>
                <w:szCs w:val="24"/>
              </w:rPr>
            </w:pPr>
            <w:r w:rsidRPr="004D4E22">
              <w:rPr>
                <w:sz w:val="24"/>
                <w:szCs w:val="24"/>
              </w:rPr>
              <w:t>After June 2018</w:t>
            </w:r>
          </w:p>
        </w:tc>
      </w:tr>
    </w:tbl>
    <w:p w:rsidR="005077D8" w:rsidRPr="004D4E22" w:rsidRDefault="005077D8" w:rsidP="005077D8">
      <w:pPr>
        <w:rPr>
          <w:sz w:val="24"/>
          <w:szCs w:val="24"/>
        </w:rPr>
      </w:pPr>
    </w:p>
    <w:sectPr w:rsidR="005077D8" w:rsidRPr="004D4E22" w:rsidSect="004D4E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70"/>
    <w:rsid w:val="00114774"/>
    <w:rsid w:val="00171EC4"/>
    <w:rsid w:val="001858E4"/>
    <w:rsid w:val="001C03BC"/>
    <w:rsid w:val="002267F3"/>
    <w:rsid w:val="002B65ED"/>
    <w:rsid w:val="0045069B"/>
    <w:rsid w:val="004C3370"/>
    <w:rsid w:val="004D4E22"/>
    <w:rsid w:val="005077D8"/>
    <w:rsid w:val="00725A1C"/>
    <w:rsid w:val="007E7488"/>
    <w:rsid w:val="00837C80"/>
    <w:rsid w:val="00D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4E340-5D8E-450F-8B59-F7E22E0D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A1C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7E748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E748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48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E7488"/>
    <w:rPr>
      <w:i/>
      <w:iCs/>
    </w:rPr>
  </w:style>
  <w:style w:type="table" w:styleId="MediumShading2-Accent5">
    <w:name w:val="Medium Shading 2 Accent 5"/>
    <w:basedOn w:val="TableNormal"/>
    <w:uiPriority w:val="64"/>
    <w:rsid w:val="007E748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50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Pressley</dc:creator>
  <cp:keywords/>
  <dc:description/>
  <cp:lastModifiedBy>MARILYN MAULTSBY</cp:lastModifiedBy>
  <cp:revision>2</cp:revision>
  <dcterms:created xsi:type="dcterms:W3CDTF">2018-01-25T19:45:00Z</dcterms:created>
  <dcterms:modified xsi:type="dcterms:W3CDTF">2018-01-25T19:45:00Z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-715680858</vt:i4>
  </property>
  <property fmtid="{D5CDD505-2E9C-101B-9397-08002B2CF9AE}" pid="3" name="_NewReviewCycle">
    <vt:lpwstr/>
  </property>
  <property fmtid="{D5CDD505-2E9C-101B-9397-08002B2CF9AE}" pid="4" name="_EmailSubject">
    <vt:lpwstr>New Medicare Card – New Partner Resources and Web Page Updates</vt:lpwstr>
  </property>
  <property fmtid="{D5CDD505-2E9C-101B-9397-08002B2CF9AE}" pid="5" name="_AuthorEmail">
    <vt:lpwstr>Marilyn.Maultsby@cms.hhs.gov</vt:lpwstr>
  </property>
  <property fmtid="{D5CDD505-2E9C-101B-9397-08002B2CF9AE}" pid="6" name="_AuthorEmailDisplayName">
    <vt:lpwstr>Maultsby, Marilyn (CMS/OC)</vt:lpwstr>
  </property>
  <property fmtid="{D5CDD505-2E9C-101B-9397-08002B2CF9AE}" pid="7" name="_PreviousAdHocReviewCycleID">
    <vt:i4>-160690621</vt:i4>
  </property>
</Properties>
</file>