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0A7BB" w14:textId="73F8C592" w:rsidR="00C04DA2" w:rsidRDefault="00C04DA2" w:rsidP="00087A02">
      <w:pPr>
        <w:jc w:val="center"/>
        <w:rPr>
          <w:b/>
          <w:bCs/>
        </w:rPr>
      </w:pPr>
      <w:r>
        <w:rPr>
          <w:noProof/>
        </w:rPr>
        <w:drawing>
          <wp:inline distT="0" distB="0" distL="0" distR="0" wp14:anchorId="29C06E59" wp14:editId="1FB0216E">
            <wp:extent cx="2133600" cy="1106311"/>
            <wp:effectExtent l="0" t="0" r="0" b="0"/>
            <wp:docPr id="2" name="Picture 2" descr="ITACC logo in red and yell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TACC logo in red and yellow.&#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0613" cy="1130688"/>
                    </a:xfrm>
                    <a:prstGeom prst="rect">
                      <a:avLst/>
                    </a:prstGeom>
                  </pic:spPr>
                </pic:pic>
              </a:graphicData>
            </a:graphic>
          </wp:inline>
        </w:drawing>
      </w:r>
    </w:p>
    <w:p w14:paraId="3CDC8C22" w14:textId="77777777" w:rsidR="00C04DA2" w:rsidRDefault="00C04DA2">
      <w:pPr>
        <w:rPr>
          <w:b/>
          <w:bCs/>
        </w:rPr>
      </w:pPr>
    </w:p>
    <w:p w14:paraId="3D74D8CE" w14:textId="0BB547AB" w:rsidR="00DA4C9C" w:rsidRPr="00087A02" w:rsidRDefault="00FF5C9C" w:rsidP="00087A02">
      <w:pPr>
        <w:pStyle w:val="Title"/>
        <w:rPr>
          <w:sz w:val="44"/>
          <w:szCs w:val="44"/>
        </w:rPr>
      </w:pPr>
      <w:r w:rsidRPr="00087A02">
        <w:rPr>
          <w:sz w:val="44"/>
          <w:szCs w:val="44"/>
        </w:rPr>
        <w:t>Notable</w:t>
      </w:r>
      <w:r w:rsidR="00087A02" w:rsidRPr="00087A02">
        <w:rPr>
          <w:sz w:val="44"/>
          <w:szCs w:val="44"/>
        </w:rPr>
        <w:t xml:space="preserve"> Rapid Response</w:t>
      </w:r>
      <w:r w:rsidRPr="00087A02">
        <w:rPr>
          <w:sz w:val="44"/>
          <w:szCs w:val="44"/>
        </w:rPr>
        <w:t xml:space="preserve"> </w:t>
      </w:r>
      <w:r w:rsidR="00DA4C9C" w:rsidRPr="00087A02">
        <w:rPr>
          <w:sz w:val="44"/>
          <w:szCs w:val="44"/>
        </w:rPr>
        <w:t xml:space="preserve">Questions </w:t>
      </w:r>
      <w:r w:rsidRPr="00087A02">
        <w:rPr>
          <w:sz w:val="44"/>
          <w:szCs w:val="44"/>
        </w:rPr>
        <w:t>from</w:t>
      </w:r>
      <w:r w:rsidR="00DA4C9C" w:rsidRPr="00087A02">
        <w:rPr>
          <w:sz w:val="44"/>
          <w:szCs w:val="44"/>
        </w:rPr>
        <w:t xml:space="preserve"> October 2020</w:t>
      </w:r>
    </w:p>
    <w:p w14:paraId="0E6A80A4" w14:textId="77777777" w:rsidR="00C04DA2" w:rsidRPr="00FF5C9C" w:rsidRDefault="00C04DA2">
      <w:pPr>
        <w:rPr>
          <w:b/>
          <w:bCs/>
        </w:rPr>
      </w:pPr>
    </w:p>
    <w:p w14:paraId="1B7D7746" w14:textId="7B03D66A" w:rsidR="00DA4C9C" w:rsidRPr="00C111A9" w:rsidRDefault="00DA4C9C" w:rsidP="00FF5C9C">
      <w:pPr>
        <w:pStyle w:val="IntenseQuote"/>
      </w:pPr>
      <w:r w:rsidRPr="00C111A9">
        <w:t>Funding</w:t>
      </w:r>
    </w:p>
    <w:p w14:paraId="1D739189" w14:textId="77777777" w:rsidR="00C111A9" w:rsidRPr="00FF5C9C" w:rsidRDefault="00DA4C9C">
      <w:pPr>
        <w:rPr>
          <w:b/>
          <w:bCs/>
        </w:rPr>
      </w:pPr>
      <w:r w:rsidRPr="00FF5C9C">
        <w:rPr>
          <w:b/>
          <w:bCs/>
        </w:rPr>
        <w:t xml:space="preserve">Is the FY 2021 allocation table for DD Councils posted on the Administration for Community Living website?  </w:t>
      </w:r>
    </w:p>
    <w:p w14:paraId="5D45A880" w14:textId="38D6A48D" w:rsidR="00DA4C9C" w:rsidRPr="00FF5C9C" w:rsidRDefault="00DA4C9C">
      <w:pPr>
        <w:rPr>
          <w:color w:val="833C0B" w:themeColor="accent2" w:themeShade="80"/>
        </w:rPr>
      </w:pPr>
      <w:r w:rsidRPr="00FF5C9C">
        <w:rPr>
          <w:color w:val="833C0B" w:themeColor="accent2" w:themeShade="80"/>
        </w:rPr>
        <w:t xml:space="preserve">Not yet.  Because Congress passed a Continuing Resolution to give the Councils partial funding, the FY 2021 table will not be posted until a full budget is passed by Congress.   </w:t>
      </w:r>
    </w:p>
    <w:p w14:paraId="0A3256D5" w14:textId="77777777" w:rsidR="00C111A9" w:rsidRPr="00FF5C9C" w:rsidRDefault="00DA4C9C">
      <w:pPr>
        <w:rPr>
          <w:b/>
          <w:bCs/>
        </w:rPr>
      </w:pPr>
      <w:r w:rsidRPr="00FF5C9C">
        <w:rPr>
          <w:b/>
          <w:bCs/>
        </w:rPr>
        <w:t>Why is my Notice of Award less than my total amount?</w:t>
      </w:r>
      <w:r w:rsidR="00C111A9" w:rsidRPr="00FF5C9C">
        <w:rPr>
          <w:b/>
          <w:bCs/>
        </w:rPr>
        <w:t xml:space="preserve"> </w:t>
      </w:r>
    </w:p>
    <w:p w14:paraId="1CD8A7B8" w14:textId="75A30637" w:rsidR="00DA4C9C" w:rsidRPr="00FF5C9C" w:rsidRDefault="00C111A9">
      <w:pPr>
        <w:rPr>
          <w:color w:val="833C0B" w:themeColor="accent2" w:themeShade="80"/>
        </w:rPr>
      </w:pPr>
      <w:r w:rsidRPr="00FF5C9C">
        <w:rPr>
          <w:color w:val="833C0B" w:themeColor="accent2" w:themeShade="80"/>
        </w:rPr>
        <w:t>Congress passed a continuing resolution on September 30, 2020.  The Award notices only reflect the amount of funds covered by the continuing resolution.</w:t>
      </w:r>
    </w:p>
    <w:p w14:paraId="6EFD0DAD" w14:textId="77777777" w:rsidR="00C111A9" w:rsidRPr="00FF5C9C" w:rsidRDefault="00DA4C9C">
      <w:pPr>
        <w:rPr>
          <w:b/>
          <w:bCs/>
        </w:rPr>
      </w:pPr>
      <w:r w:rsidRPr="00FF5C9C">
        <w:rPr>
          <w:b/>
          <w:bCs/>
        </w:rPr>
        <w:t>Can we purchase supplies for our Council members to participate in meetings?</w:t>
      </w:r>
      <w:r w:rsidR="00C111A9" w:rsidRPr="00FF5C9C">
        <w:rPr>
          <w:b/>
          <w:bCs/>
        </w:rPr>
        <w:t xml:space="preserve">  </w:t>
      </w:r>
    </w:p>
    <w:p w14:paraId="5783E460" w14:textId="63059552" w:rsidR="00DA4C9C" w:rsidRPr="00C111A9" w:rsidRDefault="00C111A9">
      <w:pPr>
        <w:rPr>
          <w:color w:val="0070C0"/>
        </w:rPr>
      </w:pPr>
      <w:r w:rsidRPr="00FF5C9C">
        <w:rPr>
          <w:color w:val="833C0B" w:themeColor="accent2" w:themeShade="80"/>
        </w:rPr>
        <w:t>Yes, but these costs must come from the administrative portion of the budget and be necessary and reasonable</w:t>
      </w:r>
      <w:r w:rsidR="00BD7597">
        <w:rPr>
          <w:color w:val="833C0B" w:themeColor="accent2" w:themeShade="80"/>
        </w:rPr>
        <w:t xml:space="preserve"> following all applicable cost principles.</w:t>
      </w:r>
    </w:p>
    <w:p w14:paraId="67EE6662" w14:textId="77777777" w:rsidR="00C111A9" w:rsidRPr="00FF5C9C" w:rsidRDefault="00DA4C9C">
      <w:pPr>
        <w:rPr>
          <w:b/>
          <w:bCs/>
        </w:rPr>
      </w:pPr>
      <w:r w:rsidRPr="00FF5C9C">
        <w:rPr>
          <w:b/>
          <w:bCs/>
        </w:rPr>
        <w:t>We requested 2018 grant award funds and was notified the grant was closed, what do we do?</w:t>
      </w:r>
      <w:r w:rsidR="00C111A9" w:rsidRPr="00FF5C9C">
        <w:rPr>
          <w:b/>
          <w:bCs/>
        </w:rPr>
        <w:t xml:space="preserve"> </w:t>
      </w:r>
    </w:p>
    <w:p w14:paraId="7463E196" w14:textId="683E4633" w:rsidR="00DA4C9C" w:rsidRPr="00FF5C9C" w:rsidRDefault="00C111A9">
      <w:pPr>
        <w:rPr>
          <w:color w:val="833C0B" w:themeColor="accent2" w:themeShade="80"/>
        </w:rPr>
      </w:pPr>
      <w:r w:rsidRPr="00FF5C9C">
        <w:rPr>
          <w:color w:val="833C0B" w:themeColor="accent2" w:themeShade="80"/>
        </w:rPr>
        <w:t xml:space="preserve">If the Council did not request a liquidation waiver and the request to draw down funds was not processed before 10/1/2020, the grant would be marked “closed”.  Contact the Council’s assigned ACL/OIDD Program Specialist for </w:t>
      </w:r>
      <w:r w:rsidR="00BD7597">
        <w:rPr>
          <w:color w:val="833C0B" w:themeColor="accent2" w:themeShade="80"/>
        </w:rPr>
        <w:t>specific questions</w:t>
      </w:r>
      <w:r w:rsidRPr="00FF5C9C">
        <w:rPr>
          <w:color w:val="833C0B" w:themeColor="accent2" w:themeShade="80"/>
        </w:rPr>
        <w:t xml:space="preserve">. </w:t>
      </w:r>
    </w:p>
    <w:p w14:paraId="060B8C94" w14:textId="3D1101E3" w:rsidR="00DA4C9C" w:rsidRPr="00C111A9" w:rsidRDefault="00DA4C9C" w:rsidP="00FF5C9C">
      <w:pPr>
        <w:pStyle w:val="IntenseQuote"/>
      </w:pPr>
      <w:r w:rsidRPr="00C111A9">
        <w:t>Federal reports</w:t>
      </w:r>
    </w:p>
    <w:p w14:paraId="3C49F3F3" w14:textId="440CAC64" w:rsidR="00DA4C9C" w:rsidRPr="00FF5C9C" w:rsidRDefault="00DA4C9C">
      <w:pPr>
        <w:rPr>
          <w:b/>
          <w:bCs/>
        </w:rPr>
      </w:pPr>
      <w:r w:rsidRPr="00FF5C9C">
        <w:rPr>
          <w:b/>
          <w:bCs/>
        </w:rPr>
        <w:t>Where and when will Council staff submit the federal reports?</w:t>
      </w:r>
    </w:p>
    <w:p w14:paraId="353E4595" w14:textId="0C48FBFE" w:rsidR="00C111A9" w:rsidRDefault="00BD7597">
      <w:pPr>
        <w:rPr>
          <w:color w:val="833C0B" w:themeColor="accent2" w:themeShade="80"/>
        </w:rPr>
      </w:pPr>
      <w:r>
        <w:rPr>
          <w:color w:val="833C0B" w:themeColor="accent2" w:themeShade="80"/>
        </w:rPr>
        <w:t>Reports</w:t>
      </w:r>
      <w:r w:rsidR="00C111A9" w:rsidRPr="00FF5C9C">
        <w:rPr>
          <w:color w:val="833C0B" w:themeColor="accent2" w:themeShade="80"/>
        </w:rPr>
        <w:t xml:space="preserve"> </w:t>
      </w:r>
      <w:r>
        <w:rPr>
          <w:color w:val="833C0B" w:themeColor="accent2" w:themeShade="80"/>
        </w:rPr>
        <w:t>are</w:t>
      </w:r>
      <w:r w:rsidR="00C111A9" w:rsidRPr="00FF5C9C">
        <w:rPr>
          <w:color w:val="833C0B" w:themeColor="accent2" w:themeShade="80"/>
        </w:rPr>
        <w:t xml:space="preserve"> due January 1, 2021.  ACL/OIDD staff will be in touch with </w:t>
      </w:r>
      <w:r>
        <w:rPr>
          <w:color w:val="833C0B" w:themeColor="accent2" w:themeShade="80"/>
        </w:rPr>
        <w:t xml:space="preserve">any updates and </w:t>
      </w:r>
      <w:r w:rsidR="00C111A9" w:rsidRPr="00FF5C9C">
        <w:rPr>
          <w:color w:val="833C0B" w:themeColor="accent2" w:themeShade="80"/>
        </w:rPr>
        <w:t>additional information on where to submit reports.</w:t>
      </w:r>
    </w:p>
    <w:p w14:paraId="57495D74" w14:textId="77777777" w:rsidR="00FA44A4" w:rsidRPr="00FF5C9C" w:rsidRDefault="00FA44A4">
      <w:pPr>
        <w:rPr>
          <w:color w:val="833C0B" w:themeColor="accent2" w:themeShade="80"/>
        </w:rPr>
      </w:pPr>
    </w:p>
    <w:p w14:paraId="77B597E0" w14:textId="48A5C0BD" w:rsidR="00DA4C9C" w:rsidRPr="00FF5C9C" w:rsidRDefault="00DA4C9C">
      <w:pPr>
        <w:rPr>
          <w:b/>
          <w:bCs/>
        </w:rPr>
      </w:pPr>
      <w:r w:rsidRPr="00FF5C9C">
        <w:rPr>
          <w:b/>
          <w:bCs/>
        </w:rPr>
        <w:lastRenderedPageBreak/>
        <w:t>Will the character limits for the reports stay the same?</w:t>
      </w:r>
    </w:p>
    <w:p w14:paraId="19DFF305" w14:textId="3371FE74" w:rsidR="00C111A9" w:rsidRPr="00FF5C9C" w:rsidRDefault="00C111A9">
      <w:pPr>
        <w:rPr>
          <w:color w:val="833C0B" w:themeColor="accent2" w:themeShade="80"/>
        </w:rPr>
      </w:pPr>
      <w:r w:rsidRPr="00FF5C9C">
        <w:rPr>
          <w:color w:val="833C0B" w:themeColor="accent2" w:themeShade="80"/>
        </w:rPr>
        <w:t>We recommend Council staff use the previous character limits as a guide in developing the FY 2020 reports.</w:t>
      </w:r>
    </w:p>
    <w:p w14:paraId="07607141" w14:textId="373B7C36" w:rsidR="00DA4C9C" w:rsidRPr="00FF5C9C" w:rsidRDefault="00DA4C9C">
      <w:pPr>
        <w:rPr>
          <w:b/>
          <w:bCs/>
        </w:rPr>
      </w:pPr>
      <w:r w:rsidRPr="00FF5C9C">
        <w:rPr>
          <w:b/>
          <w:bCs/>
        </w:rPr>
        <w:t>What OIDD performance measures are used for programs like Partners in Policymaking?</w:t>
      </w:r>
    </w:p>
    <w:p w14:paraId="6EB84C2E" w14:textId="7B2AC482" w:rsidR="00E507E5" w:rsidRPr="00E507E5" w:rsidRDefault="00E507E5" w:rsidP="00E507E5">
      <w:pPr>
        <w:spacing w:after="0" w:line="240" w:lineRule="auto"/>
        <w:textAlignment w:val="baseline"/>
        <w:rPr>
          <w:rFonts w:ascii="Calibri" w:eastAsia="Times New Roman" w:hAnsi="Calibri" w:cs="Calibri"/>
          <w:color w:val="833C0B" w:themeColor="accent2" w:themeShade="80"/>
          <w:sz w:val="24"/>
          <w:szCs w:val="24"/>
        </w:rPr>
      </w:pPr>
      <w:r w:rsidRPr="00E507E5">
        <w:rPr>
          <w:rFonts w:ascii="Calibri" w:eastAsia="Times New Roman" w:hAnsi="Calibri" w:cs="Calibri"/>
          <w:color w:val="833C0B" w:themeColor="accent2" w:themeShade="80"/>
          <w:sz w:val="24"/>
          <w:szCs w:val="24"/>
        </w:rPr>
        <w:t>Systems Change measures - SC 1.3.4. - # of best practices supported through Council activities (this would be reported if you are implementing the Partners in Policymaking program)</w:t>
      </w:r>
      <w:r w:rsidRPr="00FF5C9C">
        <w:rPr>
          <w:rFonts w:ascii="Calibri" w:eastAsia="Times New Roman" w:hAnsi="Calibri" w:cs="Calibri"/>
          <w:color w:val="833C0B" w:themeColor="accent2" w:themeShade="80"/>
          <w:sz w:val="24"/>
          <w:szCs w:val="24"/>
        </w:rPr>
        <w:t>.</w:t>
      </w:r>
    </w:p>
    <w:p w14:paraId="2F4F7108" w14:textId="77777777" w:rsidR="00E507E5" w:rsidRPr="00E507E5" w:rsidRDefault="00E507E5" w:rsidP="00E507E5">
      <w:pPr>
        <w:spacing w:after="0" w:line="240" w:lineRule="auto"/>
        <w:textAlignment w:val="baseline"/>
        <w:rPr>
          <w:rFonts w:ascii="Calibri" w:eastAsia="Times New Roman" w:hAnsi="Calibri" w:cs="Calibri"/>
          <w:color w:val="833C0B" w:themeColor="accent2" w:themeShade="80"/>
          <w:sz w:val="24"/>
          <w:szCs w:val="24"/>
        </w:rPr>
      </w:pPr>
    </w:p>
    <w:p w14:paraId="15AFFE2D" w14:textId="17E1542F" w:rsidR="00E507E5" w:rsidRPr="00E507E5" w:rsidRDefault="00E507E5" w:rsidP="00E507E5">
      <w:pPr>
        <w:spacing w:after="0" w:line="240" w:lineRule="auto"/>
        <w:textAlignment w:val="baseline"/>
        <w:rPr>
          <w:rFonts w:ascii="Calibri" w:eastAsia="Times New Roman" w:hAnsi="Calibri" w:cs="Calibri"/>
          <w:color w:val="833C0B" w:themeColor="accent2" w:themeShade="80"/>
          <w:sz w:val="24"/>
          <w:szCs w:val="24"/>
        </w:rPr>
      </w:pPr>
      <w:r w:rsidRPr="00E507E5">
        <w:rPr>
          <w:rFonts w:ascii="Calibri" w:eastAsia="Times New Roman" w:hAnsi="Calibri" w:cs="Calibri"/>
          <w:color w:val="833C0B" w:themeColor="accent2" w:themeShade="80"/>
          <w:sz w:val="24"/>
          <w:szCs w:val="24"/>
        </w:rPr>
        <w:t xml:space="preserve">If </w:t>
      </w:r>
      <w:r w:rsidRPr="00FF5C9C">
        <w:rPr>
          <w:rFonts w:ascii="Calibri" w:eastAsia="Times New Roman" w:hAnsi="Calibri" w:cs="Calibri"/>
          <w:color w:val="833C0B" w:themeColor="accent2" w:themeShade="80"/>
          <w:sz w:val="24"/>
          <w:szCs w:val="24"/>
        </w:rPr>
        <w:t>the Council is improving</w:t>
      </w:r>
      <w:r w:rsidRPr="00E507E5">
        <w:rPr>
          <w:rFonts w:ascii="Calibri" w:eastAsia="Times New Roman" w:hAnsi="Calibri" w:cs="Calibri"/>
          <w:color w:val="833C0B" w:themeColor="accent2" w:themeShade="80"/>
          <w:sz w:val="24"/>
          <w:szCs w:val="24"/>
        </w:rPr>
        <w:t xml:space="preserve"> the program to meet your State's need but still doing the PIP program you may be able to identify SC 1.3.2 (# of promising practices supported through Council activities)</w:t>
      </w:r>
      <w:r w:rsidRPr="00FF5C9C">
        <w:rPr>
          <w:rFonts w:ascii="Calibri" w:eastAsia="Times New Roman" w:hAnsi="Calibri" w:cs="Calibri"/>
          <w:color w:val="833C0B" w:themeColor="accent2" w:themeShade="80"/>
          <w:sz w:val="24"/>
          <w:szCs w:val="24"/>
        </w:rPr>
        <w:t>.</w:t>
      </w:r>
    </w:p>
    <w:p w14:paraId="1BB6B5A7" w14:textId="77777777" w:rsidR="00E507E5" w:rsidRPr="00E507E5" w:rsidRDefault="00E507E5" w:rsidP="00E507E5">
      <w:pPr>
        <w:spacing w:after="0" w:line="240" w:lineRule="auto"/>
        <w:textAlignment w:val="baseline"/>
        <w:rPr>
          <w:rFonts w:ascii="Calibri" w:eastAsia="Times New Roman" w:hAnsi="Calibri" w:cs="Calibri"/>
          <w:color w:val="833C0B" w:themeColor="accent2" w:themeShade="80"/>
          <w:sz w:val="24"/>
          <w:szCs w:val="24"/>
        </w:rPr>
      </w:pPr>
    </w:p>
    <w:p w14:paraId="4B638F13" w14:textId="553FE0DC" w:rsidR="00E507E5" w:rsidRPr="00E507E5" w:rsidRDefault="00AD79BA" w:rsidP="00E507E5">
      <w:pPr>
        <w:spacing w:after="0" w:line="240" w:lineRule="auto"/>
        <w:textAlignment w:val="baseline"/>
        <w:rPr>
          <w:rFonts w:ascii="Calibri" w:eastAsia="Times New Roman" w:hAnsi="Calibri" w:cs="Calibri"/>
          <w:color w:val="833C0B" w:themeColor="accent2" w:themeShade="80"/>
          <w:sz w:val="24"/>
          <w:szCs w:val="24"/>
        </w:rPr>
      </w:pPr>
      <w:r w:rsidRPr="00FF5C9C">
        <w:rPr>
          <w:rFonts w:ascii="Calibri" w:eastAsia="Times New Roman" w:hAnsi="Calibri" w:cs="Calibri"/>
          <w:color w:val="833C0B" w:themeColor="accent2" w:themeShade="80"/>
          <w:sz w:val="24"/>
          <w:szCs w:val="24"/>
        </w:rPr>
        <w:t xml:space="preserve">Individual and Family Advocacy measure </w:t>
      </w:r>
      <w:r w:rsidR="00E507E5" w:rsidRPr="00E507E5">
        <w:rPr>
          <w:rFonts w:ascii="Calibri" w:eastAsia="Times New Roman" w:hAnsi="Calibri" w:cs="Calibri"/>
          <w:color w:val="833C0B" w:themeColor="accent2" w:themeShade="80"/>
          <w:sz w:val="24"/>
          <w:szCs w:val="24"/>
        </w:rPr>
        <w:t xml:space="preserve">IFA 2.1 - % of people with DD who report increasing their advocacy </w:t>
      </w:r>
      <w:r w:rsidR="00E507E5" w:rsidRPr="00FF5C9C">
        <w:rPr>
          <w:rFonts w:ascii="Calibri" w:eastAsia="Times New Roman" w:hAnsi="Calibri" w:cs="Calibri"/>
          <w:color w:val="833C0B" w:themeColor="accent2" w:themeShade="80"/>
          <w:sz w:val="24"/>
          <w:szCs w:val="24"/>
        </w:rPr>
        <w:t>because</w:t>
      </w:r>
      <w:r w:rsidR="00E507E5" w:rsidRPr="00E507E5">
        <w:rPr>
          <w:rFonts w:ascii="Calibri" w:eastAsia="Times New Roman" w:hAnsi="Calibri" w:cs="Calibri"/>
          <w:color w:val="833C0B" w:themeColor="accent2" w:themeShade="80"/>
          <w:sz w:val="24"/>
          <w:szCs w:val="24"/>
        </w:rPr>
        <w:t xml:space="preserve"> of Council work (the </w:t>
      </w:r>
      <w:r w:rsidR="00E507E5" w:rsidRPr="00FF5C9C">
        <w:rPr>
          <w:rFonts w:ascii="Calibri" w:eastAsia="Times New Roman" w:hAnsi="Calibri" w:cs="Calibri"/>
          <w:color w:val="833C0B" w:themeColor="accent2" w:themeShade="80"/>
          <w:sz w:val="24"/>
          <w:szCs w:val="24"/>
        </w:rPr>
        <w:t xml:space="preserve">6-month and </w:t>
      </w:r>
      <w:r w:rsidRPr="00FF5C9C">
        <w:rPr>
          <w:rFonts w:ascii="Calibri" w:eastAsia="Times New Roman" w:hAnsi="Calibri" w:cs="Calibri"/>
          <w:color w:val="833C0B" w:themeColor="accent2" w:themeShade="80"/>
          <w:sz w:val="24"/>
          <w:szCs w:val="24"/>
        </w:rPr>
        <w:t>one-year</w:t>
      </w:r>
      <w:r w:rsidR="00E507E5" w:rsidRPr="00FF5C9C">
        <w:rPr>
          <w:rFonts w:ascii="Calibri" w:eastAsia="Times New Roman" w:hAnsi="Calibri" w:cs="Calibri"/>
          <w:color w:val="833C0B" w:themeColor="accent2" w:themeShade="80"/>
          <w:sz w:val="24"/>
          <w:szCs w:val="24"/>
        </w:rPr>
        <w:t xml:space="preserve"> </w:t>
      </w:r>
      <w:r w:rsidR="00E507E5" w:rsidRPr="00E507E5">
        <w:rPr>
          <w:rFonts w:ascii="Calibri" w:eastAsia="Times New Roman" w:hAnsi="Calibri" w:cs="Calibri"/>
          <w:color w:val="833C0B" w:themeColor="accent2" w:themeShade="80"/>
          <w:sz w:val="24"/>
          <w:szCs w:val="24"/>
        </w:rPr>
        <w:t>follow-up survey</w:t>
      </w:r>
      <w:r w:rsidR="00E507E5" w:rsidRPr="00FF5C9C">
        <w:rPr>
          <w:rFonts w:ascii="Calibri" w:eastAsia="Times New Roman" w:hAnsi="Calibri" w:cs="Calibri"/>
          <w:color w:val="833C0B" w:themeColor="accent2" w:themeShade="80"/>
          <w:sz w:val="24"/>
          <w:szCs w:val="24"/>
        </w:rPr>
        <w:t>s</w:t>
      </w:r>
      <w:r w:rsidR="00E507E5" w:rsidRPr="00E507E5">
        <w:rPr>
          <w:rFonts w:ascii="Calibri" w:eastAsia="Times New Roman" w:hAnsi="Calibri" w:cs="Calibri"/>
          <w:color w:val="833C0B" w:themeColor="accent2" w:themeShade="80"/>
          <w:sz w:val="24"/>
          <w:szCs w:val="24"/>
        </w:rPr>
        <w:t xml:space="preserve"> could demonstrate people's increase of advocacy)</w:t>
      </w:r>
      <w:r w:rsidR="00E507E5" w:rsidRPr="00FF5C9C">
        <w:rPr>
          <w:rFonts w:ascii="Calibri" w:eastAsia="Times New Roman" w:hAnsi="Calibri" w:cs="Calibri"/>
          <w:color w:val="833C0B" w:themeColor="accent2" w:themeShade="80"/>
          <w:sz w:val="24"/>
          <w:szCs w:val="24"/>
        </w:rPr>
        <w:t>.</w:t>
      </w:r>
    </w:p>
    <w:p w14:paraId="4574A9B6" w14:textId="77777777" w:rsidR="00E507E5" w:rsidRPr="00E507E5" w:rsidRDefault="00E507E5" w:rsidP="00E507E5">
      <w:pPr>
        <w:spacing w:after="0" w:line="240" w:lineRule="auto"/>
        <w:textAlignment w:val="baseline"/>
        <w:rPr>
          <w:rFonts w:ascii="Calibri" w:eastAsia="Times New Roman" w:hAnsi="Calibri" w:cs="Calibri"/>
          <w:color w:val="833C0B" w:themeColor="accent2" w:themeShade="80"/>
          <w:sz w:val="24"/>
          <w:szCs w:val="24"/>
        </w:rPr>
      </w:pPr>
    </w:p>
    <w:p w14:paraId="4C4A2E9D" w14:textId="77777777" w:rsidR="00AD79BA" w:rsidRPr="00E507E5" w:rsidRDefault="00E507E5" w:rsidP="00AD79BA">
      <w:pPr>
        <w:spacing w:after="0" w:line="240" w:lineRule="auto"/>
        <w:textAlignment w:val="baseline"/>
        <w:rPr>
          <w:rFonts w:ascii="Calibri" w:eastAsia="Times New Roman" w:hAnsi="Calibri" w:cs="Calibri"/>
          <w:color w:val="833C0B" w:themeColor="accent2" w:themeShade="80"/>
          <w:sz w:val="24"/>
          <w:szCs w:val="24"/>
        </w:rPr>
      </w:pPr>
      <w:r w:rsidRPr="00FF5C9C">
        <w:rPr>
          <w:rFonts w:ascii="Calibri" w:eastAsia="Times New Roman" w:hAnsi="Calibri" w:cs="Calibri"/>
          <w:color w:val="833C0B" w:themeColor="accent2" w:themeShade="80"/>
          <w:sz w:val="24"/>
          <w:szCs w:val="24"/>
        </w:rPr>
        <w:t xml:space="preserve">Individual and Family Advocacy measure </w:t>
      </w:r>
      <w:r w:rsidRPr="00E507E5">
        <w:rPr>
          <w:rFonts w:ascii="Calibri" w:eastAsia="Times New Roman" w:hAnsi="Calibri" w:cs="Calibri"/>
          <w:color w:val="833C0B" w:themeColor="accent2" w:themeShade="80"/>
          <w:sz w:val="24"/>
          <w:szCs w:val="24"/>
        </w:rPr>
        <w:t>IFA 2.2 is % of family members who report increasing their advocacy</w:t>
      </w:r>
      <w:r w:rsidR="00AD79BA" w:rsidRPr="00FF5C9C">
        <w:rPr>
          <w:rFonts w:ascii="Calibri" w:eastAsia="Times New Roman" w:hAnsi="Calibri" w:cs="Calibri"/>
          <w:color w:val="833C0B" w:themeColor="accent2" w:themeShade="80"/>
          <w:sz w:val="24"/>
          <w:szCs w:val="24"/>
        </w:rPr>
        <w:t xml:space="preserve"> </w:t>
      </w:r>
      <w:r w:rsidR="00AD79BA" w:rsidRPr="00E507E5">
        <w:rPr>
          <w:rFonts w:ascii="Calibri" w:eastAsia="Times New Roman" w:hAnsi="Calibri" w:cs="Calibri"/>
          <w:color w:val="833C0B" w:themeColor="accent2" w:themeShade="80"/>
          <w:sz w:val="24"/>
          <w:szCs w:val="24"/>
        </w:rPr>
        <w:t xml:space="preserve">(the </w:t>
      </w:r>
      <w:r w:rsidR="00AD79BA" w:rsidRPr="00FF5C9C">
        <w:rPr>
          <w:rFonts w:ascii="Calibri" w:eastAsia="Times New Roman" w:hAnsi="Calibri" w:cs="Calibri"/>
          <w:color w:val="833C0B" w:themeColor="accent2" w:themeShade="80"/>
          <w:sz w:val="24"/>
          <w:szCs w:val="24"/>
        </w:rPr>
        <w:t xml:space="preserve">6-month and one-year </w:t>
      </w:r>
      <w:r w:rsidR="00AD79BA" w:rsidRPr="00E507E5">
        <w:rPr>
          <w:rFonts w:ascii="Calibri" w:eastAsia="Times New Roman" w:hAnsi="Calibri" w:cs="Calibri"/>
          <w:color w:val="833C0B" w:themeColor="accent2" w:themeShade="80"/>
          <w:sz w:val="24"/>
          <w:szCs w:val="24"/>
        </w:rPr>
        <w:t>follow-up survey</w:t>
      </w:r>
      <w:r w:rsidR="00AD79BA" w:rsidRPr="00FF5C9C">
        <w:rPr>
          <w:rFonts w:ascii="Calibri" w:eastAsia="Times New Roman" w:hAnsi="Calibri" w:cs="Calibri"/>
          <w:color w:val="833C0B" w:themeColor="accent2" w:themeShade="80"/>
          <w:sz w:val="24"/>
          <w:szCs w:val="24"/>
        </w:rPr>
        <w:t>s</w:t>
      </w:r>
      <w:r w:rsidR="00AD79BA" w:rsidRPr="00E507E5">
        <w:rPr>
          <w:rFonts w:ascii="Calibri" w:eastAsia="Times New Roman" w:hAnsi="Calibri" w:cs="Calibri"/>
          <w:color w:val="833C0B" w:themeColor="accent2" w:themeShade="80"/>
          <w:sz w:val="24"/>
          <w:szCs w:val="24"/>
        </w:rPr>
        <w:t xml:space="preserve"> could demonstrate people's increase of advocacy)</w:t>
      </w:r>
      <w:r w:rsidR="00AD79BA" w:rsidRPr="00FF5C9C">
        <w:rPr>
          <w:rFonts w:ascii="Calibri" w:eastAsia="Times New Roman" w:hAnsi="Calibri" w:cs="Calibri"/>
          <w:color w:val="833C0B" w:themeColor="accent2" w:themeShade="80"/>
          <w:sz w:val="24"/>
          <w:szCs w:val="24"/>
        </w:rPr>
        <w:t>.</w:t>
      </w:r>
    </w:p>
    <w:p w14:paraId="301DE143" w14:textId="77777777" w:rsidR="00E507E5" w:rsidRPr="00E507E5" w:rsidRDefault="00E507E5" w:rsidP="00E507E5">
      <w:pPr>
        <w:spacing w:after="0" w:line="240" w:lineRule="auto"/>
        <w:textAlignment w:val="baseline"/>
        <w:rPr>
          <w:rFonts w:ascii="Calibri" w:eastAsia="Times New Roman" w:hAnsi="Calibri" w:cs="Calibri"/>
          <w:color w:val="833C0B" w:themeColor="accent2" w:themeShade="80"/>
          <w:sz w:val="24"/>
          <w:szCs w:val="24"/>
        </w:rPr>
      </w:pPr>
    </w:p>
    <w:p w14:paraId="05578310" w14:textId="3660C7F2" w:rsidR="00E507E5" w:rsidRPr="00E507E5" w:rsidRDefault="00E507E5" w:rsidP="00E507E5">
      <w:pPr>
        <w:spacing w:after="0" w:line="240" w:lineRule="auto"/>
        <w:textAlignment w:val="baseline"/>
        <w:rPr>
          <w:rFonts w:ascii="Calibri" w:eastAsia="Times New Roman" w:hAnsi="Calibri" w:cs="Calibri"/>
          <w:color w:val="833C0B" w:themeColor="accent2" w:themeShade="80"/>
          <w:sz w:val="24"/>
          <w:szCs w:val="24"/>
        </w:rPr>
      </w:pPr>
      <w:r w:rsidRPr="00E507E5">
        <w:rPr>
          <w:rFonts w:ascii="Calibri" w:eastAsia="Times New Roman" w:hAnsi="Calibri" w:cs="Calibri"/>
          <w:color w:val="833C0B" w:themeColor="accent2" w:themeShade="80"/>
          <w:sz w:val="24"/>
          <w:szCs w:val="24"/>
        </w:rPr>
        <w:t xml:space="preserve">Sub-outcome measures IFA 2.3, 2.4, and 2.5 would all be outcomes for people with I/DD and family members of I/DD </w:t>
      </w:r>
      <w:r w:rsidRPr="00FF5C9C">
        <w:rPr>
          <w:rFonts w:ascii="Calibri" w:eastAsia="Times New Roman" w:hAnsi="Calibri" w:cs="Calibri"/>
          <w:color w:val="833C0B" w:themeColor="accent2" w:themeShade="80"/>
          <w:sz w:val="24"/>
          <w:szCs w:val="24"/>
        </w:rPr>
        <w:t>because of</w:t>
      </w:r>
      <w:r w:rsidRPr="00E507E5">
        <w:rPr>
          <w:rFonts w:ascii="Calibri" w:eastAsia="Times New Roman" w:hAnsi="Calibri" w:cs="Calibri"/>
          <w:color w:val="833C0B" w:themeColor="accent2" w:themeShade="80"/>
          <w:sz w:val="24"/>
          <w:szCs w:val="24"/>
        </w:rPr>
        <w:t xml:space="preserve"> them increasing their leadership skills.</w:t>
      </w:r>
    </w:p>
    <w:p w14:paraId="4749C7C1" w14:textId="77777777" w:rsidR="00E507E5" w:rsidRDefault="00E507E5">
      <w:pPr>
        <w:rPr>
          <w:color w:val="0070C0"/>
        </w:rPr>
      </w:pPr>
    </w:p>
    <w:p w14:paraId="35ED77AD" w14:textId="0ABE08F8" w:rsidR="00DA4C9C" w:rsidRDefault="00C04DA2">
      <w:pPr>
        <w:rPr>
          <w:b/>
          <w:bCs/>
        </w:rPr>
      </w:pPr>
      <w:r>
        <w:rPr>
          <w:b/>
          <w:bCs/>
        </w:rPr>
        <w:t xml:space="preserve">What information is expected for the </w:t>
      </w:r>
      <w:r w:rsidR="00DA4C9C" w:rsidRPr="00FF5C9C">
        <w:rPr>
          <w:b/>
          <w:bCs/>
        </w:rPr>
        <w:t>4-year overview</w:t>
      </w:r>
      <w:r>
        <w:rPr>
          <w:b/>
          <w:bCs/>
        </w:rPr>
        <w:t xml:space="preserve"> item in the PPR?</w:t>
      </w:r>
    </w:p>
    <w:p w14:paraId="42D824CA" w14:textId="0396DE56" w:rsidR="00C04DA2" w:rsidRPr="00C04DA2" w:rsidRDefault="00C04DA2" w:rsidP="00C04DA2">
      <w:pPr>
        <w:rPr>
          <w:rFonts w:cstheme="minorHAnsi"/>
          <w:color w:val="833C0B" w:themeColor="accent2" w:themeShade="80"/>
        </w:rPr>
      </w:pPr>
      <w:r w:rsidRPr="00C04DA2">
        <w:rPr>
          <w:rFonts w:cstheme="minorHAnsi"/>
          <w:color w:val="833C0B" w:themeColor="accent2" w:themeShade="80"/>
        </w:rPr>
        <w:t>Th</w:t>
      </w:r>
      <w:r>
        <w:rPr>
          <w:rFonts w:cstheme="minorHAnsi"/>
          <w:color w:val="833C0B" w:themeColor="accent2" w:themeShade="80"/>
        </w:rPr>
        <w:t>e</w:t>
      </w:r>
      <w:r w:rsidRPr="00C04DA2">
        <w:rPr>
          <w:rFonts w:cstheme="minorHAnsi"/>
          <w:color w:val="833C0B" w:themeColor="accent2" w:themeShade="80"/>
        </w:rPr>
        <w:t xml:space="preserve"> overview should include information about what the Council learned from the current State plan activities.  Include information about what activities are likely to be carried forward into a new 5-year plan.  Include information about systems change efforts that will be ongoing.  If the Council is not planning to use the knowledge gained or build upon outcomes from current state plan work into the next, provide information about why work would not be built upon.  (This could be the result of other entities taking up the work, or successful sustainability of an effort or a system change effort being adopted and implemented).</w:t>
      </w:r>
    </w:p>
    <w:p w14:paraId="3BA63493" w14:textId="1510FC7A" w:rsidR="00DA4C9C" w:rsidRPr="00C0077A" w:rsidRDefault="00C04DA2">
      <w:pPr>
        <w:rPr>
          <w:color w:val="833C0B" w:themeColor="accent2" w:themeShade="80"/>
        </w:rPr>
      </w:pPr>
      <w:r w:rsidRPr="00C04DA2">
        <w:rPr>
          <w:color w:val="833C0B" w:themeColor="accent2" w:themeShade="80"/>
        </w:rPr>
        <w:t>The “</w:t>
      </w:r>
      <w:r>
        <w:rPr>
          <w:color w:val="833C0B" w:themeColor="accent2" w:themeShade="80"/>
        </w:rPr>
        <w:t>G</w:t>
      </w:r>
      <w:r w:rsidRPr="00C04DA2">
        <w:rPr>
          <w:color w:val="833C0B" w:themeColor="accent2" w:themeShade="80"/>
        </w:rPr>
        <w:t xml:space="preserve">uidance for </w:t>
      </w:r>
      <w:r>
        <w:rPr>
          <w:color w:val="833C0B" w:themeColor="accent2" w:themeShade="80"/>
        </w:rPr>
        <w:t>C</w:t>
      </w:r>
      <w:r w:rsidRPr="00C04DA2">
        <w:rPr>
          <w:color w:val="833C0B" w:themeColor="accent2" w:themeShade="80"/>
        </w:rPr>
        <w:t xml:space="preserve">ompleting the Program Performance Report” document has been revised </w:t>
      </w:r>
      <w:r>
        <w:rPr>
          <w:color w:val="833C0B" w:themeColor="accent2" w:themeShade="80"/>
        </w:rPr>
        <w:t xml:space="preserve">and is available </w:t>
      </w:r>
      <w:r w:rsidR="00C0077A">
        <w:rPr>
          <w:color w:val="833C0B" w:themeColor="accent2" w:themeShade="80"/>
        </w:rPr>
        <w:t>and the PPR content overview webinar is scheduled for November 17, 2020 at 1:00 p.m. Eastern Time (it will be recorded and available on-demand after the 17</w:t>
      </w:r>
      <w:r w:rsidR="00C0077A" w:rsidRPr="00C0077A">
        <w:rPr>
          <w:color w:val="833C0B" w:themeColor="accent2" w:themeShade="80"/>
          <w:vertAlign w:val="superscript"/>
        </w:rPr>
        <w:t>th</w:t>
      </w:r>
      <w:r w:rsidR="00C0077A">
        <w:rPr>
          <w:color w:val="833C0B" w:themeColor="accent2" w:themeShade="80"/>
        </w:rPr>
        <w:t>).</w:t>
      </w:r>
    </w:p>
    <w:p w14:paraId="34944316" w14:textId="17243BCE" w:rsidR="00DA4C9C" w:rsidRPr="00E507E5" w:rsidRDefault="00DA4C9C" w:rsidP="00FF5C9C">
      <w:pPr>
        <w:pStyle w:val="IntenseQuote"/>
      </w:pPr>
      <w:r w:rsidRPr="00E507E5">
        <w:t>State plan development 2022-2026</w:t>
      </w:r>
    </w:p>
    <w:p w14:paraId="58FC0780" w14:textId="4A6DA248" w:rsidR="00DA4C9C" w:rsidRPr="00FF5C9C" w:rsidRDefault="00DA4C9C">
      <w:pPr>
        <w:rPr>
          <w:b/>
          <w:bCs/>
        </w:rPr>
      </w:pPr>
      <w:r w:rsidRPr="00FF5C9C">
        <w:rPr>
          <w:b/>
          <w:bCs/>
        </w:rPr>
        <w:t>Where can we find examples of other Council’s Goals and objectives?</w:t>
      </w:r>
    </w:p>
    <w:p w14:paraId="6AF78C3B" w14:textId="1C5801D5" w:rsidR="00D044F6" w:rsidRPr="00FF5C9C" w:rsidRDefault="00D044F6">
      <w:pPr>
        <w:rPr>
          <w:color w:val="833C0B" w:themeColor="accent2" w:themeShade="80"/>
        </w:rPr>
      </w:pPr>
      <w:r w:rsidRPr="00FF5C9C">
        <w:rPr>
          <w:color w:val="833C0B" w:themeColor="accent2" w:themeShade="80"/>
        </w:rPr>
        <w:lastRenderedPageBreak/>
        <w:t xml:space="preserve">On the itacchelp.org website under Federal Reporting and Resources – Five Year State plan or click this link - </w:t>
      </w:r>
      <w:hyperlink r:id="rId8" w:history="1">
        <w:r w:rsidRPr="00FF5C9C">
          <w:rPr>
            <w:rStyle w:val="Hyperlink"/>
            <w:color w:val="833C0B" w:themeColor="accent2" w:themeShade="80"/>
          </w:rPr>
          <w:t>https://itacchelp.org/wp-content/uploads/2018/08/EDITED-2017-2021-State-plan-goals-and-objectives-ALL.pdf</w:t>
        </w:r>
      </w:hyperlink>
    </w:p>
    <w:p w14:paraId="13A03B38" w14:textId="77777777" w:rsidR="00D044F6" w:rsidRPr="00D044F6" w:rsidRDefault="00D044F6">
      <w:pPr>
        <w:rPr>
          <w:color w:val="0070C0"/>
        </w:rPr>
      </w:pPr>
    </w:p>
    <w:p w14:paraId="6417134B" w14:textId="26CE0DA0" w:rsidR="00DA4C9C" w:rsidRPr="00FF5C9C" w:rsidRDefault="00C0077A">
      <w:pPr>
        <w:rPr>
          <w:b/>
          <w:bCs/>
        </w:rPr>
      </w:pPr>
      <w:r>
        <w:rPr>
          <w:b/>
          <w:bCs/>
        </w:rPr>
        <w:t xml:space="preserve">Do we have to name a group for the </w:t>
      </w:r>
      <w:r w:rsidR="00DA4C9C" w:rsidRPr="00FF5C9C">
        <w:rPr>
          <w:b/>
          <w:bCs/>
        </w:rPr>
        <w:t>Targeted Disparity</w:t>
      </w:r>
      <w:r>
        <w:rPr>
          <w:b/>
          <w:bCs/>
        </w:rPr>
        <w:t xml:space="preserve"> state plan item?</w:t>
      </w:r>
    </w:p>
    <w:p w14:paraId="27393375" w14:textId="2B7F38EC" w:rsidR="00D044F6" w:rsidRDefault="00087A02">
      <w:pPr>
        <w:rPr>
          <w:color w:val="833C0B" w:themeColor="accent2" w:themeShade="80"/>
        </w:rPr>
      </w:pPr>
      <w:r>
        <w:rPr>
          <w:color w:val="833C0B" w:themeColor="accent2" w:themeShade="80"/>
        </w:rPr>
        <w:t>Yes, the Council must identify a subpopulation within the larger group of people with intellectual/developmental disabilities vulnerable to disparities.  The Council must identify a disparity the Council is trying to decrease and identify the strategy/strategies the Council will use to reduce the disparity.</w:t>
      </w:r>
    </w:p>
    <w:p w14:paraId="4AB78B3A" w14:textId="0702D405" w:rsidR="00087A02" w:rsidRDefault="00087A02">
      <w:pPr>
        <w:rPr>
          <w:color w:val="833C0B" w:themeColor="accent2" w:themeShade="80"/>
        </w:rPr>
      </w:pPr>
      <w:r>
        <w:rPr>
          <w:color w:val="833C0B" w:themeColor="accent2" w:themeShade="80"/>
        </w:rPr>
        <w:t>This item can be a goal or an objective, but the corresponding activities should include evidence based, best and/or promising practices to the extent possible.</w:t>
      </w:r>
    </w:p>
    <w:p w14:paraId="128C7B57" w14:textId="0CFBCDEA" w:rsidR="00087A02" w:rsidRDefault="00087A02">
      <w:pPr>
        <w:rPr>
          <w:color w:val="833C0B" w:themeColor="accent2" w:themeShade="80"/>
        </w:rPr>
      </w:pPr>
      <w:r>
        <w:rPr>
          <w:color w:val="833C0B" w:themeColor="accent2" w:themeShade="80"/>
        </w:rPr>
        <w:t xml:space="preserve">A </w:t>
      </w:r>
      <w:hyperlink r:id="rId9" w:history="1">
        <w:r w:rsidRPr="00087A02">
          <w:rPr>
            <w:rStyle w:val="Hyperlink"/>
            <w:color w:val="023160" w:themeColor="hyperlink" w:themeShade="80"/>
          </w:rPr>
          <w:t>Targeted Disparity Information Brief</w:t>
        </w:r>
      </w:hyperlink>
      <w:r>
        <w:rPr>
          <w:color w:val="833C0B" w:themeColor="accent2" w:themeShade="80"/>
        </w:rPr>
        <w:t xml:space="preserve"> is available.</w:t>
      </w:r>
    </w:p>
    <w:p w14:paraId="3317406D" w14:textId="77777777" w:rsidR="00087A02" w:rsidRPr="00087A02" w:rsidRDefault="00087A02">
      <w:pPr>
        <w:rPr>
          <w:color w:val="833C0B" w:themeColor="accent2" w:themeShade="80"/>
        </w:rPr>
      </w:pPr>
    </w:p>
    <w:p w14:paraId="4FAE2FD8" w14:textId="30082F1F" w:rsidR="00DA4C9C" w:rsidRDefault="00C0077A">
      <w:pPr>
        <w:rPr>
          <w:b/>
          <w:bCs/>
        </w:rPr>
      </w:pPr>
      <w:r>
        <w:rPr>
          <w:b/>
          <w:bCs/>
        </w:rPr>
        <w:t>Can we support or strengthen more than one state s</w:t>
      </w:r>
      <w:r w:rsidR="00DA4C9C" w:rsidRPr="00FF5C9C">
        <w:rPr>
          <w:b/>
          <w:bCs/>
        </w:rPr>
        <w:t>elf-advocacy</w:t>
      </w:r>
      <w:r>
        <w:rPr>
          <w:b/>
          <w:bCs/>
        </w:rPr>
        <w:t xml:space="preserve"> group</w:t>
      </w:r>
      <w:r w:rsidR="00486336">
        <w:rPr>
          <w:b/>
          <w:bCs/>
        </w:rPr>
        <w:t xml:space="preserve"> in our State/Territory</w:t>
      </w:r>
      <w:r>
        <w:rPr>
          <w:b/>
          <w:bCs/>
        </w:rPr>
        <w:t>?</w:t>
      </w:r>
    </w:p>
    <w:p w14:paraId="4E6B7D5E" w14:textId="418F2780" w:rsidR="00087A02" w:rsidRPr="00486336" w:rsidRDefault="00486336">
      <w:pPr>
        <w:rPr>
          <w:color w:val="833C0B" w:themeColor="accent2" w:themeShade="80"/>
        </w:rPr>
      </w:pPr>
      <w:r w:rsidRPr="00486336">
        <w:rPr>
          <w:color w:val="833C0B" w:themeColor="accent2" w:themeShade="80"/>
        </w:rPr>
        <w:t>Yes, the DD Act indicates for each year of the State plan the Council must establish or strengthen a program for the direct funding of a State self-advocacy organization led by individuals with developmental disabilities.  The minimum would be one, but Councils can exceed the minimum.</w:t>
      </w:r>
      <w:r>
        <w:rPr>
          <w:color w:val="833C0B" w:themeColor="accent2" w:themeShade="80"/>
        </w:rPr>
        <w:t xml:space="preserve">  Just make sure the organization is in the State/Territory you are located and led by individuals with developmental disabilities.</w:t>
      </w:r>
    </w:p>
    <w:p w14:paraId="60C69104" w14:textId="2BEB3583" w:rsidR="00C0077A" w:rsidRDefault="00C0077A">
      <w:pPr>
        <w:rPr>
          <w:b/>
          <w:bCs/>
        </w:rPr>
      </w:pPr>
      <w:r>
        <w:rPr>
          <w:b/>
          <w:bCs/>
        </w:rPr>
        <w:t>Do we have to give a state self-advocacy group funding?</w:t>
      </w:r>
    </w:p>
    <w:p w14:paraId="0E25F264" w14:textId="32331DA4" w:rsidR="00C564BE" w:rsidRDefault="00486336">
      <w:pPr>
        <w:rPr>
          <w:color w:val="833C0B" w:themeColor="accent2" w:themeShade="80"/>
        </w:rPr>
      </w:pPr>
      <w:r>
        <w:rPr>
          <w:color w:val="833C0B" w:themeColor="accent2" w:themeShade="80"/>
        </w:rPr>
        <w:t>No, the DD Act does not require a Council provide Council funds for the organization.  However, the Council can establish or strengthen a self-advocacy organization, so they are better positioned to receive direct funding to sustain themselves.</w:t>
      </w:r>
    </w:p>
    <w:p w14:paraId="1A9093B5" w14:textId="725E183E" w:rsidR="00DA4C9C" w:rsidRDefault="00DA4C9C">
      <w:pPr>
        <w:rPr>
          <w:b/>
          <w:bCs/>
        </w:rPr>
      </w:pPr>
      <w:r w:rsidRPr="00FF5C9C">
        <w:rPr>
          <w:b/>
          <w:bCs/>
        </w:rPr>
        <w:t>DD Network Collaboration – can others be involved in this item?</w:t>
      </w:r>
    </w:p>
    <w:p w14:paraId="1ED4FE3C" w14:textId="3566FAE4" w:rsidR="00486336" w:rsidRDefault="00486336">
      <w:pPr>
        <w:rPr>
          <w:color w:val="833C0B" w:themeColor="accent2" w:themeShade="80"/>
        </w:rPr>
      </w:pPr>
      <w:r w:rsidRPr="00486336">
        <w:rPr>
          <w:color w:val="833C0B" w:themeColor="accent2" w:themeShade="80"/>
        </w:rPr>
        <w:t xml:space="preserve">No.  </w:t>
      </w:r>
      <w:r w:rsidR="00BD7597">
        <w:rPr>
          <w:color w:val="833C0B" w:themeColor="accent2" w:themeShade="80"/>
        </w:rPr>
        <w:t>This</w:t>
      </w:r>
      <w:r w:rsidR="00BD7597" w:rsidRPr="00486336">
        <w:rPr>
          <w:color w:val="833C0B" w:themeColor="accent2" w:themeShade="80"/>
        </w:rPr>
        <w:t xml:space="preserve"> </w:t>
      </w:r>
      <w:r w:rsidRPr="00486336">
        <w:rPr>
          <w:color w:val="833C0B" w:themeColor="accent2" w:themeShade="80"/>
        </w:rPr>
        <w:t xml:space="preserve">required objective is </w:t>
      </w:r>
      <w:r w:rsidR="00BD7597">
        <w:rPr>
          <w:color w:val="833C0B" w:themeColor="accent2" w:themeShade="80"/>
        </w:rPr>
        <w:t xml:space="preserve">specific to </w:t>
      </w:r>
      <w:r w:rsidRPr="00486336">
        <w:rPr>
          <w:color w:val="833C0B" w:themeColor="accent2" w:themeShade="80"/>
        </w:rPr>
        <w:t xml:space="preserve">the Council, Protection and Advocacy Program, and University Center Program (or programs) to collaborate on an issue.  </w:t>
      </w:r>
      <w:r>
        <w:rPr>
          <w:color w:val="833C0B" w:themeColor="accent2" w:themeShade="80"/>
        </w:rPr>
        <w:t xml:space="preserve">OIDD guidance requires a description of the planning of collaborative efforts with the DD Network partners and how each partner will use their resources in the collaboration effort(s). </w:t>
      </w:r>
    </w:p>
    <w:p w14:paraId="7069466C" w14:textId="6CCB6A2E" w:rsidR="00486336" w:rsidRDefault="00486336">
      <w:pPr>
        <w:rPr>
          <w:color w:val="833C0B" w:themeColor="accent2" w:themeShade="80"/>
        </w:rPr>
      </w:pPr>
      <w:r>
        <w:rPr>
          <w:color w:val="833C0B" w:themeColor="accent2" w:themeShade="80"/>
        </w:rPr>
        <w:t>The DD Network collaboration goal or objective should identify the DD Network partners, identify the issue for collaboration, identify the strategy/strategies to address the collaborative effort, and there should be a logical link between the collaboration item and the information in the Comprehensive Review and Analysis.</w:t>
      </w:r>
    </w:p>
    <w:p w14:paraId="52B54532" w14:textId="54089C7D" w:rsidR="000B0F9A" w:rsidRPr="00486336" w:rsidRDefault="000B0F9A">
      <w:pPr>
        <w:rPr>
          <w:color w:val="833C0B" w:themeColor="accent2" w:themeShade="80"/>
        </w:rPr>
      </w:pPr>
      <w:r>
        <w:rPr>
          <w:color w:val="833C0B" w:themeColor="accent2" w:themeShade="80"/>
        </w:rPr>
        <w:t>Other activities that include DD Network partners and others can be included in other areas of the state plan.</w:t>
      </w:r>
    </w:p>
    <w:p w14:paraId="2D9132DF" w14:textId="77777777" w:rsidR="00486336" w:rsidRDefault="00486336">
      <w:pPr>
        <w:rPr>
          <w:b/>
          <w:bCs/>
        </w:rPr>
      </w:pPr>
    </w:p>
    <w:p w14:paraId="4CE3B084" w14:textId="2BDF3BAB" w:rsidR="00DA4C9C" w:rsidRDefault="00CC38C1">
      <w:pPr>
        <w:rPr>
          <w:b/>
          <w:bCs/>
        </w:rPr>
      </w:pPr>
      <w:r>
        <w:rPr>
          <w:b/>
          <w:bCs/>
        </w:rPr>
        <w:lastRenderedPageBreak/>
        <w:t xml:space="preserve">Is there a required </w:t>
      </w:r>
      <w:r w:rsidR="00DA4C9C" w:rsidRPr="00FF5C9C">
        <w:rPr>
          <w:b/>
          <w:bCs/>
        </w:rPr>
        <w:t>Logic model format(s)</w:t>
      </w:r>
      <w:r>
        <w:rPr>
          <w:b/>
          <w:bCs/>
        </w:rPr>
        <w:t xml:space="preserve"> we must use?</w:t>
      </w:r>
    </w:p>
    <w:p w14:paraId="427D04D1" w14:textId="4F0C9EC0" w:rsidR="00315428" w:rsidRDefault="00CC38C1">
      <w:pPr>
        <w:rPr>
          <w:rFonts w:ascii="Calibri" w:hAnsi="Calibri" w:cs="Calibri"/>
          <w:color w:val="833C0B" w:themeColor="accent2" w:themeShade="80"/>
          <w:shd w:val="clear" w:color="auto" w:fill="FFFFFF"/>
        </w:rPr>
      </w:pPr>
      <w:r w:rsidRPr="00CC38C1">
        <w:rPr>
          <w:rFonts w:ascii="Calibri" w:hAnsi="Calibri" w:cs="Calibri"/>
          <w:color w:val="833C0B" w:themeColor="accent2" w:themeShade="80"/>
          <w:shd w:val="clear" w:color="auto" w:fill="FFFFFF"/>
        </w:rPr>
        <w:t xml:space="preserve">No.  </w:t>
      </w:r>
      <w:r w:rsidR="00315428">
        <w:rPr>
          <w:rFonts w:ascii="Calibri" w:hAnsi="Calibri" w:cs="Calibri"/>
          <w:color w:val="833C0B" w:themeColor="accent2" w:themeShade="80"/>
          <w:shd w:val="clear" w:color="auto" w:fill="FFFFFF"/>
        </w:rPr>
        <w:t xml:space="preserve">There is a logic model resource on the following page </w:t>
      </w:r>
      <w:hyperlink r:id="rId10" w:history="1">
        <w:r w:rsidR="00315428" w:rsidRPr="002E3721">
          <w:rPr>
            <w:rStyle w:val="Hyperlink"/>
            <w:rFonts w:ascii="Calibri" w:hAnsi="Calibri" w:cs="Calibri"/>
            <w:color w:val="023160" w:themeColor="hyperlink" w:themeShade="80"/>
            <w:shd w:val="clear" w:color="auto" w:fill="FFFFFF"/>
          </w:rPr>
          <w:t>https://itacchelp.org/federal-reporting-resources/five-year-state-plan/</w:t>
        </w:r>
      </w:hyperlink>
    </w:p>
    <w:p w14:paraId="7789B69E" w14:textId="77777777" w:rsidR="00315428" w:rsidRPr="00CC38C1" w:rsidRDefault="00315428">
      <w:pPr>
        <w:rPr>
          <w:rFonts w:ascii="Calibri" w:hAnsi="Calibri" w:cs="Calibri"/>
          <w:color w:val="833C0B" w:themeColor="accent2" w:themeShade="80"/>
          <w:shd w:val="clear" w:color="auto" w:fill="FFFFFF"/>
        </w:rPr>
      </w:pPr>
    </w:p>
    <w:p w14:paraId="55200442" w14:textId="200ECCDD" w:rsidR="00DA4C9C" w:rsidRDefault="00DA4C9C">
      <w:pPr>
        <w:rPr>
          <w:b/>
          <w:bCs/>
        </w:rPr>
      </w:pPr>
      <w:r w:rsidRPr="00FF5C9C">
        <w:rPr>
          <w:b/>
          <w:bCs/>
        </w:rPr>
        <w:t>Waiting list charts</w:t>
      </w:r>
      <w:r w:rsidR="00315428">
        <w:rPr>
          <w:b/>
          <w:bCs/>
        </w:rPr>
        <w:t xml:space="preserve"> in the State Plan template</w:t>
      </w:r>
      <w:r w:rsidRPr="00FF5C9C">
        <w:rPr>
          <w:b/>
          <w:bCs/>
        </w:rPr>
        <w:t xml:space="preserve"> – where do you get the information?</w:t>
      </w:r>
    </w:p>
    <w:p w14:paraId="72D5EC09" w14:textId="316A4A0C" w:rsidR="00315428" w:rsidRDefault="00315428">
      <w:pPr>
        <w:rPr>
          <w:color w:val="833C0B" w:themeColor="accent2" w:themeShade="80"/>
        </w:rPr>
      </w:pPr>
      <w:r w:rsidRPr="00315428">
        <w:rPr>
          <w:color w:val="833C0B" w:themeColor="accent2" w:themeShade="80"/>
        </w:rPr>
        <w:t>The waiting for residential services chart numbers will come from the RISP report.  The most recent report is from 2017 (</w:t>
      </w:r>
      <w:hyperlink r:id="rId11" w:history="1">
        <w:r w:rsidRPr="00315428">
          <w:rPr>
            <w:rStyle w:val="Hyperlink"/>
            <w:color w:val="023160" w:themeColor="hyperlink" w:themeShade="80"/>
          </w:rPr>
          <w:t>https://ici-s.umn.edu/files/aCHyYaFjMi/risp_2017</w:t>
        </w:r>
      </w:hyperlink>
      <w:r w:rsidRPr="00315428">
        <w:rPr>
          <w:color w:val="833C0B" w:themeColor="accent2" w:themeShade="80"/>
        </w:rPr>
        <w:t xml:space="preserve">) </w:t>
      </w:r>
    </w:p>
    <w:p w14:paraId="69A47C97" w14:textId="77777777" w:rsidR="00315428" w:rsidRPr="00315428" w:rsidRDefault="00315428" w:rsidP="00315428">
      <w:pPr>
        <w:pStyle w:val="xxmsonormal"/>
        <w:shd w:val="clear" w:color="auto" w:fill="FFFFFF"/>
        <w:spacing w:before="0" w:beforeAutospacing="0" w:after="0" w:afterAutospacing="0"/>
        <w:rPr>
          <w:rFonts w:asciiTheme="minorHAnsi" w:hAnsiTheme="minorHAnsi" w:cstheme="minorHAnsi"/>
          <w:color w:val="833C0B" w:themeColor="accent2" w:themeShade="80"/>
        </w:rPr>
      </w:pPr>
      <w:r w:rsidRPr="00315428">
        <w:rPr>
          <w:rFonts w:asciiTheme="minorHAnsi" w:hAnsiTheme="minorHAnsi" w:cstheme="minorHAnsi"/>
          <w:color w:val="833C0B" w:themeColor="accent2" w:themeShade="80"/>
        </w:rPr>
        <w:t>Section II of this report provides data on waitlist information. (Table 2.1, page 59) - </w:t>
      </w:r>
      <w:r w:rsidRPr="00315428">
        <w:rPr>
          <w:rFonts w:asciiTheme="minorHAnsi" w:hAnsiTheme="minorHAnsi" w:cstheme="minorHAnsi"/>
          <w:i/>
          <w:iCs/>
          <w:color w:val="833C0B" w:themeColor="accent2" w:themeShade="80"/>
        </w:rPr>
        <w:t>Though this RISP report is for 2017, it is the most recent data.</w:t>
      </w:r>
    </w:p>
    <w:p w14:paraId="664C972D" w14:textId="77777777" w:rsidR="00315428" w:rsidRPr="00315428" w:rsidRDefault="00315428" w:rsidP="00315428">
      <w:pPr>
        <w:pStyle w:val="xxmsonormal"/>
        <w:shd w:val="clear" w:color="auto" w:fill="FFFFFF"/>
        <w:spacing w:before="0" w:beforeAutospacing="0" w:after="0" w:afterAutospacing="0"/>
        <w:rPr>
          <w:rFonts w:asciiTheme="minorHAnsi" w:hAnsiTheme="minorHAnsi" w:cstheme="minorHAnsi"/>
          <w:color w:val="833C0B" w:themeColor="accent2" w:themeShade="80"/>
        </w:rPr>
      </w:pPr>
      <w:r w:rsidRPr="00315428">
        <w:rPr>
          <w:rFonts w:asciiTheme="minorHAnsi" w:hAnsiTheme="minorHAnsi" w:cstheme="minorHAnsi"/>
          <w:color w:val="833C0B" w:themeColor="accent2" w:themeShade="80"/>
        </w:rPr>
        <w:t> </w:t>
      </w:r>
    </w:p>
    <w:p w14:paraId="23508FE3" w14:textId="77777777" w:rsidR="00315428" w:rsidRPr="00315428" w:rsidRDefault="00315428" w:rsidP="00315428">
      <w:pPr>
        <w:pStyle w:val="xxmsonormal"/>
        <w:shd w:val="clear" w:color="auto" w:fill="FFFFFF"/>
        <w:spacing w:before="0" w:beforeAutospacing="0" w:after="0" w:afterAutospacing="0"/>
        <w:rPr>
          <w:rFonts w:asciiTheme="minorHAnsi" w:hAnsiTheme="minorHAnsi" w:cstheme="minorHAnsi"/>
          <w:color w:val="833C0B" w:themeColor="accent2" w:themeShade="80"/>
        </w:rPr>
      </w:pPr>
      <w:r w:rsidRPr="00315428">
        <w:rPr>
          <w:rFonts w:asciiTheme="minorHAnsi" w:hAnsiTheme="minorHAnsi" w:cstheme="minorHAnsi"/>
          <w:color w:val="833C0B" w:themeColor="accent2" w:themeShade="80"/>
        </w:rPr>
        <w:t>For data on the number of people who use LTSS by state. (Table 1.2, page 32)</w:t>
      </w:r>
    </w:p>
    <w:p w14:paraId="64ACB893" w14:textId="77777777" w:rsidR="00315428" w:rsidRPr="00315428" w:rsidRDefault="00315428" w:rsidP="00315428">
      <w:pPr>
        <w:pStyle w:val="xxmsonormal"/>
        <w:shd w:val="clear" w:color="auto" w:fill="FFFFFF"/>
        <w:spacing w:before="0" w:beforeAutospacing="0" w:after="0" w:afterAutospacing="0"/>
        <w:rPr>
          <w:rFonts w:asciiTheme="minorHAnsi" w:hAnsiTheme="minorHAnsi" w:cstheme="minorHAnsi"/>
          <w:color w:val="833C0B" w:themeColor="accent2" w:themeShade="80"/>
        </w:rPr>
      </w:pPr>
      <w:r w:rsidRPr="00315428">
        <w:rPr>
          <w:rFonts w:asciiTheme="minorHAnsi" w:hAnsiTheme="minorHAnsi" w:cstheme="minorHAnsi"/>
          <w:color w:val="833C0B" w:themeColor="accent2" w:themeShade="80"/>
        </w:rPr>
        <w:t> </w:t>
      </w:r>
    </w:p>
    <w:p w14:paraId="5131D9AF" w14:textId="2940F22F" w:rsidR="00315428" w:rsidRPr="00315428" w:rsidRDefault="00315428" w:rsidP="00315428">
      <w:pPr>
        <w:pStyle w:val="xxmsonormal"/>
        <w:shd w:val="clear" w:color="auto" w:fill="FFFFFF"/>
        <w:spacing w:before="0" w:beforeAutospacing="0" w:after="0" w:afterAutospacing="0"/>
        <w:rPr>
          <w:rFonts w:asciiTheme="minorHAnsi" w:hAnsiTheme="minorHAnsi" w:cstheme="minorHAnsi"/>
          <w:color w:val="833C0B" w:themeColor="accent2" w:themeShade="80"/>
        </w:rPr>
      </w:pPr>
      <w:r w:rsidRPr="00315428">
        <w:rPr>
          <w:rFonts w:asciiTheme="minorHAnsi" w:hAnsiTheme="minorHAnsi" w:cstheme="minorHAnsi"/>
          <w:color w:val="833C0B" w:themeColor="accent2" w:themeShade="80"/>
        </w:rPr>
        <w:t>State Population per 100,000 will come from the US Census. This link was an approved resource in the State Plan Development Resource guide.</w:t>
      </w:r>
    </w:p>
    <w:p w14:paraId="3B97AB53" w14:textId="77777777" w:rsidR="00315428" w:rsidRPr="00315428" w:rsidRDefault="00315428" w:rsidP="00315428">
      <w:pPr>
        <w:pStyle w:val="xxmsonormal"/>
        <w:shd w:val="clear" w:color="auto" w:fill="FFFFFF"/>
        <w:spacing w:before="0" w:beforeAutospacing="0" w:after="0" w:afterAutospacing="0"/>
        <w:rPr>
          <w:rFonts w:asciiTheme="minorHAnsi" w:hAnsiTheme="minorHAnsi" w:cstheme="minorHAnsi"/>
          <w:color w:val="833C0B" w:themeColor="accent2" w:themeShade="80"/>
        </w:rPr>
      </w:pPr>
    </w:p>
    <w:p w14:paraId="55A76A14" w14:textId="5A69D3D9" w:rsidR="00315428" w:rsidRPr="00315428" w:rsidRDefault="00315428">
      <w:pPr>
        <w:rPr>
          <w:color w:val="833C0B" w:themeColor="accent2" w:themeShade="80"/>
        </w:rPr>
      </w:pPr>
      <w:r>
        <w:rPr>
          <w:color w:val="833C0B" w:themeColor="accent2" w:themeShade="80"/>
        </w:rPr>
        <w:t>If you need information on how to calculate a rate per 100,000 – see Appendix F in the State Plan Development Resource.</w:t>
      </w:r>
    </w:p>
    <w:p w14:paraId="7339FAF7" w14:textId="77777777" w:rsidR="00DA4C9C" w:rsidRDefault="00DA4C9C"/>
    <w:p w14:paraId="18BA46BA" w14:textId="531AC3FD" w:rsidR="00DA4C9C" w:rsidRPr="00E507E5" w:rsidRDefault="00DA4C9C" w:rsidP="00FF5C9C">
      <w:pPr>
        <w:pStyle w:val="IntenseQuote"/>
      </w:pPr>
      <w:r w:rsidRPr="00E507E5">
        <w:t>Staffing</w:t>
      </w:r>
    </w:p>
    <w:p w14:paraId="44DDADC8" w14:textId="5877D9E8" w:rsidR="00DA4C9C" w:rsidRPr="00315428" w:rsidRDefault="00DA4C9C">
      <w:pPr>
        <w:rPr>
          <w:b/>
          <w:bCs/>
        </w:rPr>
      </w:pPr>
      <w:r w:rsidRPr="00315428">
        <w:rPr>
          <w:b/>
          <w:bCs/>
        </w:rPr>
        <w:t>Can the Designated State Agency assign the Executive Director to other work?</w:t>
      </w:r>
    </w:p>
    <w:p w14:paraId="08EF8149" w14:textId="20E3B5C2" w:rsidR="00D044F6" w:rsidRPr="00FF5C9C" w:rsidRDefault="00D044F6">
      <w:pPr>
        <w:rPr>
          <w:color w:val="833C0B" w:themeColor="accent2" w:themeShade="80"/>
        </w:rPr>
      </w:pPr>
      <w:r w:rsidRPr="00FF5C9C">
        <w:rPr>
          <w:color w:val="833C0B" w:themeColor="accent2" w:themeShade="80"/>
        </w:rPr>
        <w:t xml:space="preserve">No.  </w:t>
      </w:r>
      <w:r w:rsidRPr="00FF5C9C">
        <w:rPr>
          <w:rFonts w:ascii="Calibri" w:hAnsi="Calibri" w:cs="Calibri"/>
          <w:color w:val="833C0B" w:themeColor="accent2" w:themeShade="80"/>
          <w:shd w:val="clear" w:color="auto" w:fill="FFFFFF"/>
        </w:rPr>
        <w:t>Section 125 (c) (10) STAFF ASSIGNMENTS - The staff of the Council, while working for the Council, shall be responsible solely for assisting the Council in carrying out the duties of the Council under this subtitle and shall not be assigned duties by the designated State agency or any other agency or entity of the State. (DD Act, PL 106-402).  If you need ACL/OIDD support, contact your assigned program specialist.</w:t>
      </w:r>
    </w:p>
    <w:p w14:paraId="27A8C7EE" w14:textId="77777777" w:rsidR="00C0077A" w:rsidRDefault="00C0077A"/>
    <w:p w14:paraId="2BB6EE50" w14:textId="0C9C7654" w:rsidR="00DA4C9C" w:rsidRPr="00E507E5" w:rsidRDefault="00DA4C9C" w:rsidP="00FF5C9C">
      <w:pPr>
        <w:pStyle w:val="IntenseQuote"/>
      </w:pPr>
      <w:r w:rsidRPr="00E507E5">
        <w:t>Council membership</w:t>
      </w:r>
    </w:p>
    <w:p w14:paraId="69743A1F" w14:textId="13AE5536" w:rsidR="00DA4C9C" w:rsidRPr="00C0077A" w:rsidRDefault="00C0077A">
      <w:pPr>
        <w:rPr>
          <w:b/>
          <w:bCs/>
        </w:rPr>
      </w:pPr>
      <w:r>
        <w:rPr>
          <w:b/>
          <w:bCs/>
        </w:rPr>
        <w:t>What is b</w:t>
      </w:r>
      <w:r w:rsidR="00DA4C9C" w:rsidRPr="00C0077A">
        <w:rPr>
          <w:b/>
          <w:bCs/>
        </w:rPr>
        <w:t>est practice for Council Chairperson term limits</w:t>
      </w:r>
      <w:r>
        <w:rPr>
          <w:b/>
          <w:bCs/>
        </w:rPr>
        <w:t>?</w:t>
      </w:r>
    </w:p>
    <w:p w14:paraId="0CD816A3" w14:textId="62B9E57F" w:rsidR="00181BFB" w:rsidRPr="00FF5C9C" w:rsidRDefault="00181BFB" w:rsidP="00181BFB">
      <w:pPr>
        <w:rPr>
          <w:color w:val="833C0B" w:themeColor="accent2" w:themeShade="80"/>
          <w:sz w:val="24"/>
          <w:szCs w:val="24"/>
        </w:rPr>
      </w:pPr>
      <w:r w:rsidRPr="00FF5C9C">
        <w:rPr>
          <w:color w:val="833C0B" w:themeColor="accent2" w:themeShade="80"/>
          <w:sz w:val="24"/>
          <w:szCs w:val="24"/>
        </w:rPr>
        <w:t>Within a “board” setting,</w:t>
      </w:r>
      <w:r w:rsidRPr="00FF5C9C">
        <w:rPr>
          <w:rFonts w:cs="Arial"/>
          <w:color w:val="833C0B" w:themeColor="accent2" w:themeShade="80"/>
          <w:sz w:val="24"/>
          <w:szCs w:val="24"/>
          <w:shd w:val="clear" w:color="auto" w:fill="FFFFFF"/>
        </w:rPr>
        <w:t xml:space="preserve"> the most common Chair structure is two consecutive one-year terms (Leading with Intent, 2017).  However, the Council can determine what is best depending on how often the Council meets as well as ensuring that terms are staggered so an Executive </w:t>
      </w:r>
      <w:r w:rsidRPr="00FF5C9C">
        <w:rPr>
          <w:rFonts w:cs="Arial"/>
          <w:color w:val="833C0B" w:themeColor="accent2" w:themeShade="80"/>
          <w:sz w:val="24"/>
          <w:szCs w:val="24"/>
          <w:shd w:val="clear" w:color="auto" w:fill="FFFFFF"/>
        </w:rPr>
        <w:lastRenderedPageBreak/>
        <w:t xml:space="preserve">Committee does not refresh all at once.   </w:t>
      </w:r>
      <w:r w:rsidRPr="00FF5C9C">
        <w:rPr>
          <w:color w:val="833C0B" w:themeColor="accent2" w:themeShade="80"/>
          <w:sz w:val="24"/>
          <w:szCs w:val="24"/>
        </w:rPr>
        <w:t>The general rule of thumb for best practices for boards suggests that Council members should turn over no more than one-third of the Council seats annually.  For Councils with Chairperson’s appointed by the Governor, the term limit for general Council membership applies.  Board Source* found the most common board member structure is two consecutive three-year terms.</w:t>
      </w:r>
    </w:p>
    <w:p w14:paraId="00CA0F4E" w14:textId="77777777" w:rsidR="00181BFB" w:rsidRPr="00FF5C9C" w:rsidRDefault="00181BFB" w:rsidP="00181BFB">
      <w:pPr>
        <w:rPr>
          <w:color w:val="833C0B" w:themeColor="accent2" w:themeShade="80"/>
          <w:sz w:val="24"/>
          <w:szCs w:val="24"/>
        </w:rPr>
      </w:pPr>
      <w:r w:rsidRPr="00FF5C9C">
        <w:rPr>
          <w:color w:val="833C0B" w:themeColor="accent2" w:themeShade="80"/>
          <w:sz w:val="24"/>
          <w:szCs w:val="24"/>
        </w:rPr>
        <w:t>While we respect a Councils decision on Chairperson terms, we recommend a Chair serve more than a one-year term for Councils that meet quarterly.  This allows a Chairperson to provide leadership for more than four meetings.  If the Council is concerned about an ineffective Chair remaining in the position for their full term, the Council by-laws could include the removal of an ineffective Chair.</w:t>
      </w:r>
    </w:p>
    <w:p w14:paraId="309DBB7C" w14:textId="77777777" w:rsidR="00181BFB" w:rsidRDefault="00181BFB"/>
    <w:p w14:paraId="4E945E8E" w14:textId="1BA45D65" w:rsidR="00DA4C9C" w:rsidRPr="00C0077A" w:rsidRDefault="00DA4C9C">
      <w:pPr>
        <w:rPr>
          <w:b/>
          <w:bCs/>
        </w:rPr>
      </w:pPr>
      <w:r w:rsidRPr="00C0077A">
        <w:rPr>
          <w:b/>
          <w:bCs/>
        </w:rPr>
        <w:t>If a federally required Council member represents two or more required programs, how many votes does the representative get?</w:t>
      </w:r>
    </w:p>
    <w:p w14:paraId="615FFC4E" w14:textId="0AD657DB" w:rsidR="00BB5A5A" w:rsidRDefault="00C42D16">
      <w:pPr>
        <w:rPr>
          <w:color w:val="833C0B" w:themeColor="accent2" w:themeShade="80"/>
        </w:rPr>
      </w:pPr>
      <w:r w:rsidRPr="00FF5C9C">
        <w:rPr>
          <w:color w:val="833C0B" w:themeColor="accent2" w:themeShade="80"/>
        </w:rPr>
        <w:t xml:space="preserve">Votes are assigned to the member.  If a member represents more than one program (for example, vocational rehabilitation and education) the member has one vote.  However, we recommend the Council advocate for representation from the programs that are required to ensure the Council has members who are knowledgeable about the programs and how they operate and </w:t>
      </w:r>
      <w:r w:rsidR="00986E07">
        <w:rPr>
          <w:color w:val="833C0B" w:themeColor="accent2" w:themeShade="80"/>
        </w:rPr>
        <w:t xml:space="preserve">“(i) have sufficient authority to </w:t>
      </w:r>
      <w:r w:rsidRPr="00FF5C9C">
        <w:rPr>
          <w:color w:val="833C0B" w:themeColor="accent2" w:themeShade="80"/>
        </w:rPr>
        <w:t xml:space="preserve">engage in policy planning </w:t>
      </w:r>
      <w:r w:rsidR="00986E07">
        <w:rPr>
          <w:color w:val="833C0B" w:themeColor="accent2" w:themeShade="80"/>
        </w:rPr>
        <w:t xml:space="preserve">and implementation </w:t>
      </w:r>
      <w:r w:rsidRPr="00FF5C9C">
        <w:rPr>
          <w:color w:val="833C0B" w:themeColor="accent2" w:themeShade="80"/>
        </w:rPr>
        <w:t xml:space="preserve">on behalf of the </w:t>
      </w:r>
      <w:r w:rsidR="00986E07">
        <w:rPr>
          <w:color w:val="833C0B" w:themeColor="accent2" w:themeShade="80"/>
        </w:rPr>
        <w:t>department, agency, or program such representatives represent…” (DD Act, Section 125 (C)</w:t>
      </w:r>
      <w:r w:rsidR="00FA1E4B">
        <w:rPr>
          <w:color w:val="833C0B" w:themeColor="accent2" w:themeShade="80"/>
        </w:rPr>
        <w:t>(4)(B)(i)</w:t>
      </w:r>
    </w:p>
    <w:p w14:paraId="4263020C" w14:textId="7F5B806F" w:rsidR="00DA4C9C" w:rsidRPr="00E507E5" w:rsidRDefault="00DA4C9C" w:rsidP="00FF5C9C">
      <w:pPr>
        <w:pStyle w:val="IntenseQuote"/>
      </w:pPr>
      <w:r w:rsidRPr="00E507E5">
        <w:t>Council operations</w:t>
      </w:r>
    </w:p>
    <w:p w14:paraId="190A5DA6" w14:textId="72A54E96" w:rsidR="00906712" w:rsidRDefault="00906712" w:rsidP="00906712">
      <w:pPr>
        <w:pStyle w:val="xxmsonormal"/>
        <w:shd w:val="clear" w:color="auto" w:fill="FFFFFF"/>
        <w:spacing w:before="0" w:beforeAutospacing="0" w:after="0" w:afterAutospacing="0"/>
        <w:rPr>
          <w:rFonts w:ascii="Calibri" w:hAnsi="Calibri" w:cs="Calibri"/>
          <w:b/>
          <w:bCs/>
          <w:sz w:val="22"/>
          <w:szCs w:val="22"/>
          <w:bdr w:val="none" w:sz="0" w:space="0" w:color="auto" w:frame="1"/>
        </w:rPr>
      </w:pPr>
      <w:r w:rsidRPr="00906712">
        <w:rPr>
          <w:rFonts w:ascii="Calibri" w:hAnsi="Calibri" w:cs="Calibri"/>
          <w:b/>
          <w:bCs/>
          <w:sz w:val="22"/>
          <w:szCs w:val="22"/>
          <w:bdr w:val="none" w:sz="0" w:space="0" w:color="auto" w:frame="1"/>
        </w:rPr>
        <w:t>What are some questions the Council can ask a potential grantee to be able to assess risk?</w:t>
      </w:r>
    </w:p>
    <w:p w14:paraId="0912B221" w14:textId="77777777" w:rsidR="00FA44A4" w:rsidRDefault="00FA44A4" w:rsidP="00FA44A4">
      <w:pPr>
        <w:rPr>
          <w:color w:val="833C0B" w:themeColor="accent2" w:themeShade="80"/>
        </w:rPr>
      </w:pPr>
    </w:p>
    <w:p w14:paraId="798BB545" w14:textId="5B58F286" w:rsidR="00FA44A4" w:rsidRDefault="00FA44A4" w:rsidP="00FA44A4">
      <w:pPr>
        <w:rPr>
          <w:color w:val="833C0B" w:themeColor="accent2" w:themeShade="80"/>
        </w:rPr>
      </w:pPr>
      <w:r>
        <w:rPr>
          <w:color w:val="833C0B" w:themeColor="accent2" w:themeShade="80"/>
        </w:rPr>
        <w:t xml:space="preserve">Background:  Assessing risk for potential grantees is performed so that Council staff can determine the appropriate level of monitoring and oversight that should be assigned to a grantee (once funded).  </w:t>
      </w:r>
    </w:p>
    <w:p w14:paraId="4AC4C378" w14:textId="7B0673BA" w:rsidR="00FA44A4" w:rsidRPr="00FA44A4" w:rsidRDefault="00FA44A4" w:rsidP="00906712">
      <w:pPr>
        <w:pStyle w:val="xxmsonormal"/>
        <w:shd w:val="clear" w:color="auto" w:fill="FFFFFF"/>
        <w:spacing w:before="0" w:beforeAutospacing="0" w:after="0" w:afterAutospacing="0"/>
        <w:rPr>
          <w:rFonts w:ascii="Calibri" w:hAnsi="Calibri" w:cs="Calibri"/>
          <w:color w:val="833C0B" w:themeColor="accent2" w:themeShade="80"/>
          <w:sz w:val="22"/>
          <w:szCs w:val="22"/>
          <w:bdr w:val="none" w:sz="0" w:space="0" w:color="auto" w:frame="1"/>
        </w:rPr>
      </w:pPr>
      <w:r w:rsidRPr="00FA44A4">
        <w:rPr>
          <w:rFonts w:ascii="Calibri" w:hAnsi="Calibri" w:cs="Calibri"/>
          <w:color w:val="833C0B" w:themeColor="accent2" w:themeShade="80"/>
          <w:sz w:val="22"/>
          <w:szCs w:val="22"/>
          <w:bdr w:val="none" w:sz="0" w:space="0" w:color="auto" w:frame="1"/>
        </w:rPr>
        <w:t>Common assessment questions are:</w:t>
      </w:r>
    </w:p>
    <w:p w14:paraId="3AD8EB25" w14:textId="77777777" w:rsidR="00906712" w:rsidRPr="00FA44A4" w:rsidRDefault="00906712" w:rsidP="00906712">
      <w:pPr>
        <w:pStyle w:val="xxmsonormal"/>
        <w:shd w:val="clear" w:color="auto" w:fill="FFFFFF"/>
        <w:spacing w:before="0" w:beforeAutospacing="0" w:after="0" w:afterAutospacing="0"/>
        <w:rPr>
          <w:rFonts w:ascii="Calibri" w:hAnsi="Calibri" w:cs="Calibri"/>
          <w:color w:val="000000"/>
          <w:sz w:val="22"/>
          <w:szCs w:val="22"/>
        </w:rPr>
      </w:pPr>
    </w:p>
    <w:p w14:paraId="3DB76E17" w14:textId="266AC18E" w:rsidR="00906712" w:rsidRPr="00906712" w:rsidRDefault="00906712" w:rsidP="00906712">
      <w:pPr>
        <w:pStyle w:val="xxmsonormal"/>
        <w:numPr>
          <w:ilvl w:val="0"/>
          <w:numId w:val="1"/>
        </w:numPr>
        <w:shd w:val="clear" w:color="auto" w:fill="FFFFFF"/>
        <w:spacing w:before="0" w:beforeAutospacing="0" w:after="0" w:afterAutospacing="0"/>
        <w:rPr>
          <w:rFonts w:ascii="Calibri" w:hAnsi="Calibri" w:cs="Calibri"/>
          <w:color w:val="833C0B" w:themeColor="accent2" w:themeShade="80"/>
          <w:sz w:val="22"/>
          <w:szCs w:val="22"/>
        </w:rPr>
      </w:pPr>
      <w:r>
        <w:rPr>
          <w:rFonts w:ascii="Calibri" w:hAnsi="Calibri" w:cs="Calibri"/>
          <w:color w:val="833C0B" w:themeColor="accent2" w:themeShade="80"/>
          <w:sz w:val="22"/>
          <w:szCs w:val="22"/>
          <w:bdr w:val="none" w:sz="0" w:space="0" w:color="auto" w:frame="1"/>
        </w:rPr>
        <w:t>Does the organization have e</w:t>
      </w:r>
      <w:r w:rsidRPr="00906712">
        <w:rPr>
          <w:rFonts w:ascii="Calibri" w:hAnsi="Calibri" w:cs="Calibri"/>
          <w:color w:val="833C0B" w:themeColor="accent2" w:themeShade="80"/>
          <w:sz w:val="22"/>
          <w:szCs w:val="22"/>
          <w:bdr w:val="none" w:sz="0" w:space="0" w:color="auto" w:frame="1"/>
        </w:rPr>
        <w:t>xperience in managing state o</w:t>
      </w:r>
      <w:r>
        <w:rPr>
          <w:rFonts w:ascii="Calibri" w:hAnsi="Calibri" w:cs="Calibri"/>
          <w:color w:val="833C0B" w:themeColor="accent2" w:themeShade="80"/>
          <w:sz w:val="22"/>
          <w:szCs w:val="22"/>
          <w:bdr w:val="none" w:sz="0" w:space="0" w:color="auto" w:frame="1"/>
        </w:rPr>
        <w:t>r</w:t>
      </w:r>
      <w:r w:rsidRPr="00906712">
        <w:rPr>
          <w:rFonts w:ascii="Calibri" w:hAnsi="Calibri" w:cs="Calibri"/>
          <w:color w:val="833C0B" w:themeColor="accent2" w:themeShade="80"/>
          <w:sz w:val="22"/>
          <w:szCs w:val="22"/>
          <w:bdr w:val="none" w:sz="0" w:space="0" w:color="auto" w:frame="1"/>
        </w:rPr>
        <w:t xml:space="preserve"> federal funds?</w:t>
      </w:r>
    </w:p>
    <w:p w14:paraId="41073874" w14:textId="6AA99D47" w:rsidR="00906712" w:rsidRPr="00906712" w:rsidRDefault="00906712" w:rsidP="00906712">
      <w:pPr>
        <w:pStyle w:val="xxmsonormal"/>
        <w:numPr>
          <w:ilvl w:val="0"/>
          <w:numId w:val="1"/>
        </w:numPr>
        <w:shd w:val="clear" w:color="auto" w:fill="FFFFFF"/>
        <w:spacing w:before="0" w:beforeAutospacing="0" w:after="0" w:afterAutospacing="0"/>
        <w:rPr>
          <w:rFonts w:ascii="Calibri" w:hAnsi="Calibri" w:cs="Calibri"/>
          <w:color w:val="833C0B" w:themeColor="accent2" w:themeShade="80"/>
          <w:sz w:val="22"/>
          <w:szCs w:val="22"/>
        </w:rPr>
      </w:pPr>
      <w:r w:rsidRPr="00906712">
        <w:rPr>
          <w:rFonts w:ascii="Calibri" w:hAnsi="Calibri" w:cs="Calibri"/>
          <w:color w:val="833C0B" w:themeColor="accent2" w:themeShade="80"/>
          <w:sz w:val="22"/>
          <w:szCs w:val="22"/>
          <w:bdr w:val="none" w:sz="0" w:space="0" w:color="auto" w:frame="1"/>
        </w:rPr>
        <w:t>Can the org</w:t>
      </w:r>
      <w:r>
        <w:rPr>
          <w:rFonts w:ascii="Calibri" w:hAnsi="Calibri" w:cs="Calibri"/>
          <w:color w:val="833C0B" w:themeColor="accent2" w:themeShade="80"/>
          <w:sz w:val="22"/>
          <w:szCs w:val="22"/>
          <w:bdr w:val="none" w:sz="0" w:space="0" w:color="auto" w:frame="1"/>
        </w:rPr>
        <w:t>anization</w:t>
      </w:r>
      <w:r w:rsidRPr="00906712">
        <w:rPr>
          <w:rFonts w:ascii="Calibri" w:hAnsi="Calibri" w:cs="Calibri"/>
          <w:color w:val="833C0B" w:themeColor="accent2" w:themeShade="80"/>
          <w:sz w:val="22"/>
          <w:szCs w:val="22"/>
          <w:bdr w:val="none" w:sz="0" w:space="0" w:color="auto" w:frame="1"/>
        </w:rPr>
        <w:t xml:space="preserve"> operate on a cost-reimbursement basis?</w:t>
      </w:r>
    </w:p>
    <w:p w14:paraId="4D0D9AA6" w14:textId="774405F1" w:rsidR="00906712" w:rsidRPr="00906712" w:rsidRDefault="00906712" w:rsidP="00906712">
      <w:pPr>
        <w:pStyle w:val="xxmsonormal"/>
        <w:numPr>
          <w:ilvl w:val="0"/>
          <w:numId w:val="1"/>
        </w:numPr>
        <w:shd w:val="clear" w:color="auto" w:fill="FFFFFF"/>
        <w:spacing w:before="0" w:beforeAutospacing="0" w:after="0" w:afterAutospacing="0"/>
        <w:rPr>
          <w:rFonts w:ascii="Calibri" w:hAnsi="Calibri" w:cs="Calibri"/>
          <w:color w:val="833C0B" w:themeColor="accent2" w:themeShade="80"/>
          <w:sz w:val="22"/>
          <w:szCs w:val="22"/>
        </w:rPr>
      </w:pPr>
      <w:r>
        <w:rPr>
          <w:rFonts w:ascii="Calibri" w:hAnsi="Calibri" w:cs="Calibri"/>
          <w:color w:val="833C0B" w:themeColor="accent2" w:themeShade="80"/>
          <w:sz w:val="22"/>
          <w:szCs w:val="22"/>
          <w:bdr w:val="none" w:sz="0" w:space="0" w:color="auto" w:frame="1"/>
        </w:rPr>
        <w:t xml:space="preserve">What </w:t>
      </w:r>
      <w:r w:rsidRPr="00906712">
        <w:rPr>
          <w:rFonts w:ascii="Calibri" w:hAnsi="Calibri" w:cs="Calibri"/>
          <w:color w:val="833C0B" w:themeColor="accent2" w:themeShade="80"/>
          <w:sz w:val="22"/>
          <w:szCs w:val="22"/>
          <w:bdr w:val="none" w:sz="0" w:space="0" w:color="auto" w:frame="1"/>
        </w:rPr>
        <w:t xml:space="preserve">amount of change in personnel or accounting systems </w:t>
      </w:r>
      <w:r>
        <w:rPr>
          <w:rFonts w:ascii="Calibri" w:hAnsi="Calibri" w:cs="Calibri"/>
          <w:color w:val="833C0B" w:themeColor="accent2" w:themeShade="80"/>
          <w:sz w:val="22"/>
          <w:szCs w:val="22"/>
          <w:bdr w:val="none" w:sz="0" w:space="0" w:color="auto" w:frame="1"/>
        </w:rPr>
        <w:t xml:space="preserve">have occurred </w:t>
      </w:r>
      <w:r w:rsidRPr="00906712">
        <w:rPr>
          <w:rFonts w:ascii="Calibri" w:hAnsi="Calibri" w:cs="Calibri"/>
          <w:color w:val="833C0B" w:themeColor="accent2" w:themeShade="80"/>
          <w:sz w:val="22"/>
          <w:szCs w:val="22"/>
          <w:bdr w:val="none" w:sz="0" w:space="0" w:color="auto" w:frame="1"/>
        </w:rPr>
        <w:t>over the past 12 months</w:t>
      </w:r>
      <w:r>
        <w:rPr>
          <w:rFonts w:ascii="Calibri" w:hAnsi="Calibri" w:cs="Calibri"/>
          <w:color w:val="833C0B" w:themeColor="accent2" w:themeShade="80"/>
          <w:sz w:val="22"/>
          <w:szCs w:val="22"/>
          <w:bdr w:val="none" w:sz="0" w:space="0" w:color="auto" w:frame="1"/>
        </w:rPr>
        <w:t>?</w:t>
      </w:r>
    </w:p>
    <w:p w14:paraId="1DF2AA59" w14:textId="59F933BE" w:rsidR="00906712" w:rsidRPr="00906712" w:rsidRDefault="00906712" w:rsidP="00906712">
      <w:pPr>
        <w:pStyle w:val="xxmsonormal"/>
        <w:numPr>
          <w:ilvl w:val="0"/>
          <w:numId w:val="1"/>
        </w:numPr>
        <w:shd w:val="clear" w:color="auto" w:fill="FFFFFF"/>
        <w:spacing w:before="0" w:beforeAutospacing="0" w:after="0" w:afterAutospacing="0"/>
        <w:rPr>
          <w:rFonts w:ascii="Calibri" w:hAnsi="Calibri" w:cs="Calibri"/>
          <w:color w:val="833C0B" w:themeColor="accent2" w:themeShade="80"/>
          <w:sz w:val="22"/>
          <w:szCs w:val="22"/>
        </w:rPr>
      </w:pPr>
      <w:r w:rsidRPr="00906712">
        <w:rPr>
          <w:rFonts w:ascii="Calibri" w:hAnsi="Calibri" w:cs="Calibri"/>
          <w:color w:val="833C0B" w:themeColor="accent2" w:themeShade="80"/>
          <w:sz w:val="22"/>
          <w:szCs w:val="22"/>
          <w:bdr w:val="none" w:sz="0" w:space="0" w:color="auto" w:frame="1"/>
        </w:rPr>
        <w:t>Do</w:t>
      </w:r>
      <w:r>
        <w:rPr>
          <w:rFonts w:ascii="Calibri" w:hAnsi="Calibri" w:cs="Calibri"/>
          <w:color w:val="833C0B" w:themeColor="accent2" w:themeShade="80"/>
          <w:sz w:val="22"/>
          <w:szCs w:val="22"/>
          <w:bdr w:val="none" w:sz="0" w:space="0" w:color="auto" w:frame="1"/>
        </w:rPr>
        <w:t>es</w:t>
      </w:r>
      <w:r w:rsidRPr="00906712">
        <w:rPr>
          <w:rFonts w:ascii="Calibri" w:hAnsi="Calibri" w:cs="Calibri"/>
          <w:color w:val="833C0B" w:themeColor="accent2" w:themeShade="80"/>
          <w:sz w:val="22"/>
          <w:szCs w:val="22"/>
          <w:bdr w:val="none" w:sz="0" w:space="0" w:color="auto" w:frame="1"/>
        </w:rPr>
        <w:t xml:space="preserve"> the</w:t>
      </w:r>
      <w:r>
        <w:rPr>
          <w:rFonts w:ascii="Calibri" w:hAnsi="Calibri" w:cs="Calibri"/>
          <w:color w:val="833C0B" w:themeColor="accent2" w:themeShade="80"/>
          <w:sz w:val="22"/>
          <w:szCs w:val="22"/>
          <w:bdr w:val="none" w:sz="0" w:space="0" w:color="auto" w:frame="1"/>
        </w:rPr>
        <w:t xml:space="preserve"> organization</w:t>
      </w:r>
      <w:r w:rsidRPr="00906712">
        <w:rPr>
          <w:rFonts w:ascii="Calibri" w:hAnsi="Calibri" w:cs="Calibri"/>
          <w:color w:val="833C0B" w:themeColor="accent2" w:themeShade="80"/>
          <w:sz w:val="22"/>
          <w:szCs w:val="22"/>
          <w:bdr w:val="none" w:sz="0" w:space="0" w:color="auto" w:frame="1"/>
        </w:rPr>
        <w:t xml:space="preserve"> conduct an annual audit</w:t>
      </w:r>
      <w:r>
        <w:rPr>
          <w:rFonts w:ascii="Calibri" w:hAnsi="Calibri" w:cs="Calibri"/>
          <w:color w:val="833C0B" w:themeColor="accent2" w:themeShade="80"/>
          <w:sz w:val="22"/>
          <w:szCs w:val="22"/>
          <w:bdr w:val="none" w:sz="0" w:space="0" w:color="auto" w:frame="1"/>
        </w:rPr>
        <w:t>?</w:t>
      </w:r>
    </w:p>
    <w:p w14:paraId="017DDC39" w14:textId="327F64FD" w:rsidR="00906712" w:rsidRPr="00906712" w:rsidRDefault="00906712" w:rsidP="00906712">
      <w:pPr>
        <w:pStyle w:val="xxmsonormal"/>
        <w:numPr>
          <w:ilvl w:val="0"/>
          <w:numId w:val="1"/>
        </w:numPr>
        <w:shd w:val="clear" w:color="auto" w:fill="FFFFFF"/>
        <w:spacing w:before="0" w:beforeAutospacing="0" w:after="0" w:afterAutospacing="0"/>
        <w:rPr>
          <w:rFonts w:ascii="Calibri" w:hAnsi="Calibri" w:cs="Calibri"/>
          <w:color w:val="833C0B" w:themeColor="accent2" w:themeShade="80"/>
          <w:sz w:val="22"/>
          <w:szCs w:val="22"/>
        </w:rPr>
      </w:pPr>
      <w:r w:rsidRPr="00906712">
        <w:rPr>
          <w:rFonts w:ascii="Calibri" w:hAnsi="Calibri" w:cs="Calibri"/>
          <w:color w:val="833C0B" w:themeColor="accent2" w:themeShade="80"/>
          <w:sz w:val="22"/>
          <w:szCs w:val="22"/>
          <w:bdr w:val="none" w:sz="0" w:space="0" w:color="auto" w:frame="1"/>
        </w:rPr>
        <w:t>Are they involved in a lawsuit or be</w:t>
      </w:r>
      <w:r>
        <w:rPr>
          <w:rFonts w:ascii="Calibri" w:hAnsi="Calibri" w:cs="Calibri"/>
          <w:color w:val="833C0B" w:themeColor="accent2" w:themeShade="80"/>
          <w:sz w:val="22"/>
          <w:szCs w:val="22"/>
          <w:bdr w:val="none" w:sz="0" w:space="0" w:color="auto" w:frame="1"/>
        </w:rPr>
        <w:t>en</w:t>
      </w:r>
      <w:r w:rsidRPr="00906712">
        <w:rPr>
          <w:rFonts w:ascii="Calibri" w:hAnsi="Calibri" w:cs="Calibri"/>
          <w:color w:val="833C0B" w:themeColor="accent2" w:themeShade="80"/>
          <w:sz w:val="22"/>
          <w:szCs w:val="22"/>
          <w:bdr w:val="none" w:sz="0" w:space="0" w:color="auto" w:frame="1"/>
        </w:rPr>
        <w:t xml:space="preserve"> made aware of a potential lawsuit?</w:t>
      </w:r>
    </w:p>
    <w:p w14:paraId="5476198C" w14:textId="2BACF889" w:rsidR="00906712" w:rsidRPr="00906712" w:rsidRDefault="00906712" w:rsidP="00906712">
      <w:pPr>
        <w:pStyle w:val="xxmsonormal"/>
        <w:numPr>
          <w:ilvl w:val="0"/>
          <w:numId w:val="1"/>
        </w:numPr>
        <w:shd w:val="clear" w:color="auto" w:fill="FFFFFF"/>
        <w:spacing w:before="0" w:beforeAutospacing="0" w:after="0" w:afterAutospacing="0"/>
        <w:rPr>
          <w:rFonts w:ascii="Calibri" w:hAnsi="Calibri" w:cs="Calibri"/>
          <w:color w:val="833C0B" w:themeColor="accent2" w:themeShade="80"/>
          <w:sz w:val="22"/>
          <w:szCs w:val="22"/>
        </w:rPr>
      </w:pPr>
      <w:r w:rsidRPr="00906712">
        <w:rPr>
          <w:rFonts w:ascii="Calibri" w:hAnsi="Calibri" w:cs="Calibri"/>
          <w:color w:val="833C0B" w:themeColor="accent2" w:themeShade="80"/>
          <w:sz w:val="22"/>
          <w:szCs w:val="22"/>
          <w:bdr w:val="none" w:sz="0" w:space="0" w:color="auto" w:frame="1"/>
        </w:rPr>
        <w:t>Is the org</w:t>
      </w:r>
      <w:r>
        <w:rPr>
          <w:rFonts w:ascii="Calibri" w:hAnsi="Calibri" w:cs="Calibri"/>
          <w:color w:val="833C0B" w:themeColor="accent2" w:themeShade="80"/>
          <w:sz w:val="22"/>
          <w:szCs w:val="22"/>
          <w:bdr w:val="none" w:sz="0" w:space="0" w:color="auto" w:frame="1"/>
        </w:rPr>
        <w:t>anization</w:t>
      </w:r>
      <w:r w:rsidRPr="00906712">
        <w:rPr>
          <w:rFonts w:ascii="Calibri" w:hAnsi="Calibri" w:cs="Calibri"/>
          <w:color w:val="833C0B" w:themeColor="accent2" w:themeShade="80"/>
          <w:sz w:val="22"/>
          <w:szCs w:val="22"/>
          <w:bdr w:val="none" w:sz="0" w:space="0" w:color="auto" w:frame="1"/>
        </w:rPr>
        <w:t xml:space="preserve"> under a corrective action plan because of audit findings?</w:t>
      </w:r>
    </w:p>
    <w:p w14:paraId="51BEFB75" w14:textId="497F8CE7" w:rsidR="00906712" w:rsidRPr="00906712" w:rsidRDefault="00906712" w:rsidP="00906712">
      <w:pPr>
        <w:pStyle w:val="xxmsonormal"/>
        <w:numPr>
          <w:ilvl w:val="0"/>
          <w:numId w:val="1"/>
        </w:numPr>
        <w:shd w:val="clear" w:color="auto" w:fill="FFFFFF"/>
        <w:spacing w:before="0" w:beforeAutospacing="0" w:after="0" w:afterAutospacing="0"/>
        <w:rPr>
          <w:rFonts w:ascii="Calibri" w:hAnsi="Calibri" w:cs="Calibri"/>
          <w:color w:val="833C0B" w:themeColor="accent2" w:themeShade="80"/>
          <w:sz w:val="22"/>
          <w:szCs w:val="22"/>
        </w:rPr>
      </w:pPr>
      <w:r>
        <w:rPr>
          <w:rFonts w:ascii="Calibri" w:hAnsi="Calibri" w:cs="Calibri"/>
          <w:color w:val="833C0B" w:themeColor="accent2" w:themeShade="80"/>
          <w:sz w:val="22"/>
          <w:szCs w:val="22"/>
          <w:bdr w:val="none" w:sz="0" w:space="0" w:color="auto" w:frame="1"/>
        </w:rPr>
        <w:t>Does the organization have a h</w:t>
      </w:r>
      <w:r w:rsidRPr="00906712">
        <w:rPr>
          <w:rFonts w:ascii="Calibri" w:hAnsi="Calibri" w:cs="Calibri"/>
          <w:color w:val="833C0B" w:themeColor="accent2" w:themeShade="80"/>
          <w:sz w:val="22"/>
          <w:szCs w:val="22"/>
          <w:bdr w:val="none" w:sz="0" w:space="0" w:color="auto" w:frame="1"/>
        </w:rPr>
        <w:t>istory of submitting timely deliverables</w:t>
      </w:r>
      <w:r>
        <w:rPr>
          <w:rFonts w:ascii="Calibri" w:hAnsi="Calibri" w:cs="Calibri"/>
          <w:color w:val="833C0B" w:themeColor="accent2" w:themeShade="80"/>
          <w:sz w:val="22"/>
          <w:szCs w:val="22"/>
          <w:bdr w:val="none" w:sz="0" w:space="0" w:color="auto" w:frame="1"/>
        </w:rPr>
        <w:t>?</w:t>
      </w:r>
    </w:p>
    <w:p w14:paraId="26C19684" w14:textId="754879DB" w:rsidR="00906712" w:rsidRPr="00906712" w:rsidRDefault="00906712" w:rsidP="00906712">
      <w:pPr>
        <w:pStyle w:val="xxmsonormal"/>
        <w:numPr>
          <w:ilvl w:val="0"/>
          <w:numId w:val="1"/>
        </w:numPr>
        <w:shd w:val="clear" w:color="auto" w:fill="FFFFFF"/>
        <w:spacing w:before="0" w:beforeAutospacing="0" w:after="0" w:afterAutospacing="0"/>
        <w:rPr>
          <w:rFonts w:ascii="Calibri" w:hAnsi="Calibri" w:cs="Calibri"/>
          <w:color w:val="833C0B" w:themeColor="accent2" w:themeShade="80"/>
          <w:sz w:val="22"/>
          <w:szCs w:val="22"/>
        </w:rPr>
      </w:pPr>
      <w:r>
        <w:rPr>
          <w:rFonts w:ascii="Calibri" w:hAnsi="Calibri" w:cs="Calibri"/>
          <w:color w:val="833C0B" w:themeColor="accent2" w:themeShade="80"/>
          <w:sz w:val="22"/>
          <w:szCs w:val="22"/>
          <w:bdr w:val="none" w:sz="0" w:space="0" w:color="auto" w:frame="1"/>
        </w:rPr>
        <w:t>Does the organization have a h</w:t>
      </w:r>
      <w:r w:rsidRPr="00906712">
        <w:rPr>
          <w:rFonts w:ascii="Calibri" w:hAnsi="Calibri" w:cs="Calibri"/>
          <w:color w:val="833C0B" w:themeColor="accent2" w:themeShade="80"/>
          <w:sz w:val="22"/>
          <w:szCs w:val="22"/>
          <w:bdr w:val="none" w:sz="0" w:space="0" w:color="auto" w:frame="1"/>
        </w:rPr>
        <w:t>istory of submitting timely and accurate fiscal reports</w:t>
      </w:r>
      <w:r>
        <w:rPr>
          <w:rFonts w:ascii="Calibri" w:hAnsi="Calibri" w:cs="Calibri"/>
          <w:color w:val="833C0B" w:themeColor="accent2" w:themeShade="80"/>
          <w:sz w:val="22"/>
          <w:szCs w:val="22"/>
          <w:bdr w:val="none" w:sz="0" w:space="0" w:color="auto" w:frame="1"/>
        </w:rPr>
        <w:t>?</w:t>
      </w:r>
    </w:p>
    <w:p w14:paraId="6BB805B7" w14:textId="2F639851" w:rsidR="00906712" w:rsidRPr="00906712" w:rsidRDefault="00906712" w:rsidP="00906712">
      <w:pPr>
        <w:pStyle w:val="xxmsonormal"/>
        <w:numPr>
          <w:ilvl w:val="0"/>
          <w:numId w:val="1"/>
        </w:numPr>
        <w:shd w:val="clear" w:color="auto" w:fill="FFFFFF"/>
        <w:spacing w:before="0" w:beforeAutospacing="0" w:after="0" w:afterAutospacing="0"/>
        <w:rPr>
          <w:rFonts w:ascii="Calibri" w:hAnsi="Calibri" w:cs="Calibri"/>
          <w:color w:val="833C0B" w:themeColor="accent2" w:themeShade="80"/>
          <w:sz w:val="22"/>
          <w:szCs w:val="22"/>
        </w:rPr>
      </w:pPr>
      <w:r w:rsidRPr="00906712">
        <w:rPr>
          <w:rFonts w:ascii="Calibri" w:hAnsi="Calibri" w:cs="Calibri"/>
          <w:color w:val="833C0B" w:themeColor="accent2" w:themeShade="80"/>
          <w:sz w:val="22"/>
          <w:szCs w:val="22"/>
          <w:bdr w:val="none" w:sz="0" w:space="0" w:color="auto" w:frame="1"/>
        </w:rPr>
        <w:t xml:space="preserve">Does </w:t>
      </w:r>
      <w:r>
        <w:rPr>
          <w:rFonts w:ascii="Calibri" w:hAnsi="Calibri" w:cs="Calibri"/>
          <w:color w:val="833C0B" w:themeColor="accent2" w:themeShade="80"/>
          <w:sz w:val="22"/>
          <w:szCs w:val="22"/>
          <w:bdr w:val="none" w:sz="0" w:space="0" w:color="auto" w:frame="1"/>
        </w:rPr>
        <w:t xml:space="preserve">the </w:t>
      </w:r>
      <w:r w:rsidRPr="00906712">
        <w:rPr>
          <w:rFonts w:ascii="Calibri" w:hAnsi="Calibri" w:cs="Calibri"/>
          <w:color w:val="833C0B" w:themeColor="accent2" w:themeShade="80"/>
          <w:sz w:val="22"/>
          <w:szCs w:val="22"/>
          <w:bdr w:val="none" w:sz="0" w:space="0" w:color="auto" w:frame="1"/>
        </w:rPr>
        <w:t>accounting system track receipts and expenses by grant/contract?</w:t>
      </w:r>
    </w:p>
    <w:p w14:paraId="0DC02D6D" w14:textId="56B6E367" w:rsidR="00906712" w:rsidRPr="00906712" w:rsidRDefault="00906712" w:rsidP="00906712">
      <w:pPr>
        <w:pStyle w:val="xxmsonormal"/>
        <w:numPr>
          <w:ilvl w:val="0"/>
          <w:numId w:val="1"/>
        </w:numPr>
        <w:shd w:val="clear" w:color="auto" w:fill="FFFFFF"/>
        <w:spacing w:before="0" w:beforeAutospacing="0" w:after="0" w:afterAutospacing="0"/>
        <w:rPr>
          <w:rFonts w:ascii="Calibri" w:hAnsi="Calibri" w:cs="Calibri"/>
          <w:color w:val="833C0B" w:themeColor="accent2" w:themeShade="80"/>
          <w:sz w:val="22"/>
          <w:szCs w:val="22"/>
        </w:rPr>
      </w:pPr>
      <w:r>
        <w:rPr>
          <w:rFonts w:ascii="Calibri" w:hAnsi="Calibri" w:cs="Calibri"/>
          <w:color w:val="833C0B" w:themeColor="accent2" w:themeShade="80"/>
          <w:sz w:val="22"/>
          <w:szCs w:val="22"/>
          <w:bdr w:val="none" w:sz="0" w:space="0" w:color="auto" w:frame="1"/>
        </w:rPr>
        <w:lastRenderedPageBreak/>
        <w:t>Does Can the organization</w:t>
      </w:r>
      <w:r w:rsidRPr="00906712">
        <w:rPr>
          <w:rFonts w:ascii="Calibri" w:hAnsi="Calibri" w:cs="Calibri"/>
          <w:color w:val="833C0B" w:themeColor="accent2" w:themeShade="80"/>
          <w:sz w:val="22"/>
          <w:szCs w:val="22"/>
          <w:bdr w:val="none" w:sz="0" w:space="0" w:color="auto" w:frame="1"/>
        </w:rPr>
        <w:t xml:space="preserve"> record and track staff time incurred by the project?</w:t>
      </w:r>
    </w:p>
    <w:p w14:paraId="209B7076" w14:textId="271B9C48" w:rsidR="00906712" w:rsidRPr="00906712" w:rsidRDefault="00906712" w:rsidP="00906712">
      <w:pPr>
        <w:pStyle w:val="xxmsonormal"/>
        <w:numPr>
          <w:ilvl w:val="0"/>
          <w:numId w:val="1"/>
        </w:numPr>
        <w:shd w:val="clear" w:color="auto" w:fill="FFFFFF"/>
        <w:spacing w:before="0" w:beforeAutospacing="0" w:after="0" w:afterAutospacing="0"/>
        <w:rPr>
          <w:rFonts w:ascii="Calibri" w:hAnsi="Calibri" w:cs="Calibri"/>
          <w:color w:val="833C0B" w:themeColor="accent2" w:themeShade="80"/>
          <w:sz w:val="22"/>
          <w:szCs w:val="22"/>
        </w:rPr>
      </w:pPr>
      <w:r w:rsidRPr="00906712">
        <w:rPr>
          <w:rFonts w:ascii="Calibri" w:hAnsi="Calibri" w:cs="Calibri"/>
          <w:color w:val="833C0B" w:themeColor="accent2" w:themeShade="80"/>
          <w:sz w:val="22"/>
          <w:szCs w:val="22"/>
          <w:bdr w:val="none" w:sz="0" w:space="0" w:color="auto" w:frame="1"/>
        </w:rPr>
        <w:t>Does the org</w:t>
      </w:r>
      <w:r>
        <w:rPr>
          <w:rFonts w:ascii="Calibri" w:hAnsi="Calibri" w:cs="Calibri"/>
          <w:color w:val="833C0B" w:themeColor="accent2" w:themeShade="80"/>
          <w:sz w:val="22"/>
          <w:szCs w:val="22"/>
          <w:bdr w:val="none" w:sz="0" w:space="0" w:color="auto" w:frame="1"/>
        </w:rPr>
        <w:t>anization</w:t>
      </w:r>
      <w:r w:rsidRPr="00906712">
        <w:rPr>
          <w:rFonts w:ascii="Calibri" w:hAnsi="Calibri" w:cs="Calibri"/>
          <w:color w:val="833C0B" w:themeColor="accent2" w:themeShade="80"/>
          <w:sz w:val="22"/>
          <w:szCs w:val="22"/>
          <w:bdr w:val="none" w:sz="0" w:space="0" w:color="auto" w:frame="1"/>
        </w:rPr>
        <w:t xml:space="preserve"> have written policies and procedures for procurement, personnel, property, and subcontracts (if applicable)</w:t>
      </w:r>
      <w:r>
        <w:rPr>
          <w:rFonts w:ascii="Calibri" w:hAnsi="Calibri" w:cs="Calibri"/>
          <w:color w:val="833C0B" w:themeColor="accent2" w:themeShade="80"/>
          <w:sz w:val="22"/>
          <w:szCs w:val="22"/>
          <w:bdr w:val="none" w:sz="0" w:space="0" w:color="auto" w:frame="1"/>
        </w:rPr>
        <w:t>?</w:t>
      </w:r>
    </w:p>
    <w:p w14:paraId="06362BBF" w14:textId="633B4A33" w:rsidR="00906712" w:rsidRPr="00906712" w:rsidRDefault="00906712" w:rsidP="00906712">
      <w:pPr>
        <w:pStyle w:val="xxmsonormal"/>
        <w:numPr>
          <w:ilvl w:val="0"/>
          <w:numId w:val="1"/>
        </w:numPr>
        <w:shd w:val="clear" w:color="auto" w:fill="FFFFFF"/>
        <w:spacing w:before="0" w:beforeAutospacing="0" w:after="0" w:afterAutospacing="0"/>
        <w:rPr>
          <w:rFonts w:ascii="Calibri" w:hAnsi="Calibri" w:cs="Calibri"/>
          <w:color w:val="833C0B" w:themeColor="accent2" w:themeShade="80"/>
          <w:sz w:val="22"/>
          <w:szCs w:val="22"/>
        </w:rPr>
      </w:pPr>
      <w:r w:rsidRPr="00906712">
        <w:rPr>
          <w:rFonts w:ascii="Calibri" w:hAnsi="Calibri" w:cs="Calibri"/>
          <w:color w:val="833C0B" w:themeColor="accent2" w:themeShade="80"/>
          <w:sz w:val="22"/>
          <w:szCs w:val="22"/>
          <w:bdr w:val="none" w:sz="0" w:space="0" w:color="auto" w:frame="1"/>
        </w:rPr>
        <w:t xml:space="preserve">Is the amount of proposed funding less than 50% of </w:t>
      </w:r>
      <w:r>
        <w:rPr>
          <w:rFonts w:ascii="Calibri" w:hAnsi="Calibri" w:cs="Calibri"/>
          <w:color w:val="833C0B" w:themeColor="accent2" w:themeShade="80"/>
          <w:sz w:val="22"/>
          <w:szCs w:val="22"/>
          <w:bdr w:val="none" w:sz="0" w:space="0" w:color="auto" w:frame="1"/>
        </w:rPr>
        <w:t>the organization’s</w:t>
      </w:r>
      <w:r w:rsidRPr="00906712">
        <w:rPr>
          <w:rFonts w:ascii="Calibri" w:hAnsi="Calibri" w:cs="Calibri"/>
          <w:color w:val="833C0B" w:themeColor="accent2" w:themeShade="80"/>
          <w:sz w:val="22"/>
          <w:szCs w:val="22"/>
          <w:bdr w:val="none" w:sz="0" w:space="0" w:color="auto" w:frame="1"/>
        </w:rPr>
        <w:t xml:space="preserve"> average revenues for the last 24 months?</w:t>
      </w:r>
    </w:p>
    <w:p w14:paraId="7584591F" w14:textId="6E8D015A" w:rsidR="00DA4C9C" w:rsidRDefault="00DA4C9C">
      <w:pPr>
        <w:rPr>
          <w:color w:val="833C0B" w:themeColor="accent2" w:themeShade="80"/>
        </w:rPr>
      </w:pPr>
    </w:p>
    <w:p w14:paraId="3279C0CC" w14:textId="32505EB5" w:rsidR="00906712" w:rsidRDefault="007A1EA7">
      <w:pPr>
        <w:rPr>
          <w:color w:val="833C0B" w:themeColor="accent2" w:themeShade="80"/>
        </w:rPr>
      </w:pPr>
      <w:r>
        <w:rPr>
          <w:color w:val="833C0B" w:themeColor="accent2" w:themeShade="80"/>
        </w:rPr>
        <w:t xml:space="preserve">Council staff should be sure to follow the state guidelines as well. Common examples are a “vendor check form” that includes information about their DUNS registration, </w:t>
      </w:r>
      <w:r w:rsidR="00FA44A4">
        <w:rPr>
          <w:color w:val="833C0B" w:themeColor="accent2" w:themeShade="80"/>
        </w:rPr>
        <w:t>registration as a business with the State/Territory, disbarment verification, etc.</w:t>
      </w:r>
    </w:p>
    <w:p w14:paraId="040C861A" w14:textId="147604E2" w:rsidR="00FA44A4" w:rsidRDefault="00FA44A4">
      <w:pPr>
        <w:rPr>
          <w:color w:val="833C0B" w:themeColor="accent2" w:themeShade="80"/>
        </w:rPr>
      </w:pPr>
    </w:p>
    <w:p w14:paraId="7C45FEF7" w14:textId="77777777" w:rsidR="00762312" w:rsidRPr="00906712" w:rsidRDefault="00762312">
      <w:pPr>
        <w:rPr>
          <w:color w:val="833C0B" w:themeColor="accent2" w:themeShade="80"/>
        </w:rPr>
      </w:pPr>
    </w:p>
    <w:sectPr w:rsidR="00762312" w:rsidRPr="0090671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EF335" w14:textId="77777777" w:rsidR="003E4B64" w:rsidRDefault="003E4B64" w:rsidP="00FF5C9C">
      <w:pPr>
        <w:spacing w:after="0" w:line="240" w:lineRule="auto"/>
      </w:pPr>
      <w:r>
        <w:separator/>
      </w:r>
    </w:p>
  </w:endnote>
  <w:endnote w:type="continuationSeparator" w:id="0">
    <w:p w14:paraId="572A3AEA" w14:textId="77777777" w:rsidR="003E4B64" w:rsidRDefault="003E4B64" w:rsidP="00FF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B24B" w14:textId="77777777" w:rsidR="00710801" w:rsidRDefault="00710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447119309"/>
      <w:docPartObj>
        <w:docPartGallery w:val="Page Numbers (Bottom of Page)"/>
        <w:docPartUnique/>
      </w:docPartObj>
    </w:sdtPr>
    <w:sdtEndPr>
      <w:rPr>
        <w:noProof/>
        <w:sz w:val="22"/>
        <w:szCs w:val="22"/>
      </w:rPr>
    </w:sdtEndPr>
    <w:sdtContent>
      <w:p w14:paraId="217136A3" w14:textId="77777777" w:rsidR="00E90C92" w:rsidRPr="00710801" w:rsidRDefault="00FF5C9C">
        <w:pPr>
          <w:pStyle w:val="Footer"/>
          <w:jc w:val="right"/>
          <w:rPr>
            <w:noProof/>
            <w:sz w:val="18"/>
            <w:szCs w:val="18"/>
          </w:rPr>
        </w:pPr>
        <w:r w:rsidRPr="00710801">
          <w:rPr>
            <w:sz w:val="18"/>
            <w:szCs w:val="18"/>
          </w:rPr>
          <w:fldChar w:fldCharType="begin"/>
        </w:r>
        <w:r w:rsidRPr="00710801">
          <w:rPr>
            <w:sz w:val="18"/>
            <w:szCs w:val="18"/>
          </w:rPr>
          <w:instrText xml:space="preserve"> PAGE   \* MERGEFORMAT </w:instrText>
        </w:r>
        <w:r w:rsidRPr="00710801">
          <w:rPr>
            <w:sz w:val="18"/>
            <w:szCs w:val="18"/>
          </w:rPr>
          <w:fldChar w:fldCharType="separate"/>
        </w:r>
        <w:r w:rsidR="0025634E" w:rsidRPr="00710801">
          <w:rPr>
            <w:noProof/>
            <w:sz w:val="18"/>
            <w:szCs w:val="18"/>
          </w:rPr>
          <w:t>1</w:t>
        </w:r>
        <w:r w:rsidRPr="00710801">
          <w:rPr>
            <w:noProof/>
            <w:sz w:val="18"/>
            <w:szCs w:val="18"/>
          </w:rPr>
          <w:fldChar w:fldCharType="end"/>
        </w:r>
      </w:p>
      <w:p w14:paraId="3B240805" w14:textId="4B2C8CDD" w:rsidR="00FF5C9C" w:rsidRDefault="00E90C92" w:rsidP="00E90C92">
        <w:pPr>
          <w:pStyle w:val="Footer"/>
        </w:pPr>
        <w:r w:rsidRPr="00710801">
          <w:rPr>
            <w:noProof/>
            <w:sz w:val="18"/>
            <w:szCs w:val="18"/>
          </w:rPr>
          <w:t>Flesch Reading Ease 40.7; Flesch-Kincaid Grade Level 11.9</w:t>
        </w:r>
      </w:p>
    </w:sdtContent>
  </w:sdt>
  <w:p w14:paraId="6175BB2C" w14:textId="77777777" w:rsidR="00FF5C9C" w:rsidRDefault="00FF5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DDD3" w14:textId="77777777" w:rsidR="00710801" w:rsidRDefault="00710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42786" w14:textId="77777777" w:rsidR="003E4B64" w:rsidRDefault="003E4B64" w:rsidP="00FF5C9C">
      <w:pPr>
        <w:spacing w:after="0" w:line="240" w:lineRule="auto"/>
      </w:pPr>
      <w:r>
        <w:separator/>
      </w:r>
    </w:p>
  </w:footnote>
  <w:footnote w:type="continuationSeparator" w:id="0">
    <w:p w14:paraId="5A853CC0" w14:textId="77777777" w:rsidR="003E4B64" w:rsidRDefault="003E4B64" w:rsidP="00FF5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7053" w14:textId="77777777" w:rsidR="00710801" w:rsidRDefault="00710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EFB3" w14:textId="77777777" w:rsidR="00FF5C9C" w:rsidRDefault="00FF5C9C" w:rsidP="00FF5C9C">
    <w:pPr>
      <w:pStyle w:val="Header"/>
    </w:pPr>
    <w:r>
      <w:t>Information and Technical Assistance Center for Councils on Developmental Disabilities</w:t>
    </w:r>
  </w:p>
  <w:p w14:paraId="7DF0961E" w14:textId="77777777" w:rsidR="00FF5C9C" w:rsidRDefault="00FF5C9C" w:rsidP="00FF5C9C">
    <w:pPr>
      <w:pStyle w:val="Header"/>
    </w:pPr>
    <w:r>
      <w:t>Contract #HHSP233201600068C</w:t>
    </w:r>
  </w:p>
  <w:p w14:paraId="0E3D8607" w14:textId="77777777" w:rsidR="00FF5C9C" w:rsidRDefault="00FF5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F109" w14:textId="77777777" w:rsidR="00710801" w:rsidRDefault="00710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96338"/>
    <w:multiLevelType w:val="hybridMultilevel"/>
    <w:tmpl w:val="2C1A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9C"/>
    <w:rsid w:val="00087A02"/>
    <w:rsid w:val="000B0F9A"/>
    <w:rsid w:val="0017427B"/>
    <w:rsid w:val="00181BFB"/>
    <w:rsid w:val="0025634E"/>
    <w:rsid w:val="002D2D3B"/>
    <w:rsid w:val="00315428"/>
    <w:rsid w:val="003E4B64"/>
    <w:rsid w:val="00486336"/>
    <w:rsid w:val="00491322"/>
    <w:rsid w:val="005D7BF6"/>
    <w:rsid w:val="00710801"/>
    <w:rsid w:val="007324C7"/>
    <w:rsid w:val="00762312"/>
    <w:rsid w:val="007A1EA7"/>
    <w:rsid w:val="007C67E0"/>
    <w:rsid w:val="00906712"/>
    <w:rsid w:val="00986E07"/>
    <w:rsid w:val="00AD79BA"/>
    <w:rsid w:val="00BB5A5A"/>
    <w:rsid w:val="00BD7597"/>
    <w:rsid w:val="00C0077A"/>
    <w:rsid w:val="00C04DA2"/>
    <w:rsid w:val="00C111A9"/>
    <w:rsid w:val="00C42D16"/>
    <w:rsid w:val="00C53B24"/>
    <w:rsid w:val="00C564BE"/>
    <w:rsid w:val="00CC38C1"/>
    <w:rsid w:val="00D044F6"/>
    <w:rsid w:val="00DA4C9C"/>
    <w:rsid w:val="00E26F4A"/>
    <w:rsid w:val="00E35FFA"/>
    <w:rsid w:val="00E507E5"/>
    <w:rsid w:val="00E90C92"/>
    <w:rsid w:val="00FA1E4B"/>
    <w:rsid w:val="00FA44A4"/>
    <w:rsid w:val="00FF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90F8"/>
  <w15:chartTrackingRefBased/>
  <w15:docId w15:val="{14988427-65DD-49A0-9F6C-9A9B2640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C9C"/>
    <w:rPr>
      <w:color w:val="808080"/>
    </w:rPr>
  </w:style>
  <w:style w:type="character" w:styleId="Hyperlink">
    <w:name w:val="Hyperlink"/>
    <w:basedOn w:val="DefaultParagraphFont"/>
    <w:uiPriority w:val="99"/>
    <w:unhideWhenUsed/>
    <w:rsid w:val="00D044F6"/>
    <w:rPr>
      <w:color w:val="0563C1" w:themeColor="hyperlink"/>
      <w:u w:val="single"/>
    </w:rPr>
  </w:style>
  <w:style w:type="character" w:customStyle="1" w:styleId="UnresolvedMention1">
    <w:name w:val="Unresolved Mention1"/>
    <w:basedOn w:val="DefaultParagraphFont"/>
    <w:uiPriority w:val="99"/>
    <w:semiHidden/>
    <w:unhideWhenUsed/>
    <w:rsid w:val="00D044F6"/>
    <w:rPr>
      <w:color w:val="605E5C"/>
      <w:shd w:val="clear" w:color="auto" w:fill="E1DFDD"/>
    </w:rPr>
  </w:style>
  <w:style w:type="paragraph" w:styleId="IntenseQuote">
    <w:name w:val="Intense Quote"/>
    <w:basedOn w:val="Normal"/>
    <w:next w:val="Normal"/>
    <w:link w:val="IntenseQuoteChar"/>
    <w:uiPriority w:val="30"/>
    <w:qFormat/>
    <w:rsid w:val="00FF5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F5C9C"/>
    <w:rPr>
      <w:i/>
      <w:iCs/>
      <w:color w:val="4472C4" w:themeColor="accent1"/>
    </w:rPr>
  </w:style>
  <w:style w:type="paragraph" w:styleId="Header">
    <w:name w:val="header"/>
    <w:basedOn w:val="Normal"/>
    <w:link w:val="HeaderChar"/>
    <w:uiPriority w:val="99"/>
    <w:unhideWhenUsed/>
    <w:rsid w:val="00FF5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C9C"/>
  </w:style>
  <w:style w:type="paragraph" w:styleId="Footer">
    <w:name w:val="footer"/>
    <w:basedOn w:val="Normal"/>
    <w:link w:val="FooterChar"/>
    <w:uiPriority w:val="99"/>
    <w:unhideWhenUsed/>
    <w:rsid w:val="00FF5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C9C"/>
  </w:style>
  <w:style w:type="paragraph" w:styleId="Title">
    <w:name w:val="Title"/>
    <w:basedOn w:val="Normal"/>
    <w:next w:val="Normal"/>
    <w:link w:val="TitleChar"/>
    <w:uiPriority w:val="10"/>
    <w:qFormat/>
    <w:rsid w:val="00087A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7A02"/>
    <w:rPr>
      <w:rFonts w:asciiTheme="majorHAnsi" w:eastAsiaTheme="majorEastAsia" w:hAnsiTheme="majorHAnsi" w:cstheme="majorBidi"/>
      <w:spacing w:val="-10"/>
      <w:kern w:val="28"/>
      <w:sz w:val="56"/>
      <w:szCs w:val="56"/>
    </w:rPr>
  </w:style>
  <w:style w:type="character" w:customStyle="1" w:styleId="mark3ev8jbhzo">
    <w:name w:val="mark3ev8jbhzo"/>
    <w:basedOn w:val="DefaultParagraphFont"/>
    <w:rsid w:val="00CC38C1"/>
  </w:style>
  <w:style w:type="character" w:customStyle="1" w:styleId="markzkkhsrekt">
    <w:name w:val="markzkkhsrekt"/>
    <w:basedOn w:val="DefaultParagraphFont"/>
    <w:rsid w:val="00CC38C1"/>
  </w:style>
  <w:style w:type="paragraph" w:customStyle="1" w:styleId="xxmsonormal">
    <w:name w:val="x_x_msonormal"/>
    <w:basedOn w:val="Normal"/>
    <w:rsid w:val="00315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vkjvsmz0">
    <w:name w:val="markgvkjvsmz0"/>
    <w:basedOn w:val="DefaultParagraphFont"/>
    <w:rsid w:val="00906712"/>
  </w:style>
  <w:style w:type="character" w:customStyle="1" w:styleId="mark569otjgwx">
    <w:name w:val="mark569otjgwx"/>
    <w:basedOn w:val="DefaultParagraphFont"/>
    <w:rsid w:val="00906712"/>
  </w:style>
  <w:style w:type="character" w:styleId="CommentReference">
    <w:name w:val="annotation reference"/>
    <w:basedOn w:val="DefaultParagraphFont"/>
    <w:uiPriority w:val="99"/>
    <w:semiHidden/>
    <w:unhideWhenUsed/>
    <w:rsid w:val="00BD7597"/>
    <w:rPr>
      <w:sz w:val="16"/>
      <w:szCs w:val="16"/>
    </w:rPr>
  </w:style>
  <w:style w:type="paragraph" w:styleId="CommentText">
    <w:name w:val="annotation text"/>
    <w:basedOn w:val="Normal"/>
    <w:link w:val="CommentTextChar"/>
    <w:uiPriority w:val="99"/>
    <w:semiHidden/>
    <w:unhideWhenUsed/>
    <w:rsid w:val="00BD7597"/>
    <w:pPr>
      <w:spacing w:line="240" w:lineRule="auto"/>
    </w:pPr>
    <w:rPr>
      <w:sz w:val="20"/>
      <w:szCs w:val="20"/>
    </w:rPr>
  </w:style>
  <w:style w:type="character" w:customStyle="1" w:styleId="CommentTextChar">
    <w:name w:val="Comment Text Char"/>
    <w:basedOn w:val="DefaultParagraphFont"/>
    <w:link w:val="CommentText"/>
    <w:uiPriority w:val="99"/>
    <w:semiHidden/>
    <w:rsid w:val="00BD7597"/>
    <w:rPr>
      <w:sz w:val="20"/>
      <w:szCs w:val="20"/>
    </w:rPr>
  </w:style>
  <w:style w:type="paragraph" w:styleId="CommentSubject">
    <w:name w:val="annotation subject"/>
    <w:basedOn w:val="CommentText"/>
    <w:next w:val="CommentText"/>
    <w:link w:val="CommentSubjectChar"/>
    <w:uiPriority w:val="99"/>
    <w:semiHidden/>
    <w:unhideWhenUsed/>
    <w:rsid w:val="00BD7597"/>
    <w:rPr>
      <w:b/>
      <w:bCs/>
    </w:rPr>
  </w:style>
  <w:style w:type="character" w:customStyle="1" w:styleId="CommentSubjectChar">
    <w:name w:val="Comment Subject Char"/>
    <w:basedOn w:val="CommentTextChar"/>
    <w:link w:val="CommentSubject"/>
    <w:uiPriority w:val="99"/>
    <w:semiHidden/>
    <w:rsid w:val="00BD7597"/>
    <w:rPr>
      <w:b/>
      <w:bCs/>
      <w:sz w:val="20"/>
      <w:szCs w:val="20"/>
    </w:rPr>
  </w:style>
  <w:style w:type="paragraph" w:styleId="BalloonText">
    <w:name w:val="Balloon Text"/>
    <w:basedOn w:val="Normal"/>
    <w:link w:val="BalloonTextChar"/>
    <w:uiPriority w:val="99"/>
    <w:semiHidden/>
    <w:unhideWhenUsed/>
    <w:rsid w:val="00BD7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597"/>
    <w:rPr>
      <w:rFonts w:ascii="Segoe UI" w:hAnsi="Segoe UI" w:cs="Segoe UI"/>
      <w:sz w:val="18"/>
      <w:szCs w:val="18"/>
    </w:rPr>
  </w:style>
  <w:style w:type="paragraph" w:styleId="Revision">
    <w:name w:val="Revision"/>
    <w:hidden/>
    <w:uiPriority w:val="99"/>
    <w:semiHidden/>
    <w:rsid w:val="00FA1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492648">
      <w:bodyDiv w:val="1"/>
      <w:marLeft w:val="0"/>
      <w:marRight w:val="0"/>
      <w:marTop w:val="0"/>
      <w:marBottom w:val="0"/>
      <w:divBdr>
        <w:top w:val="none" w:sz="0" w:space="0" w:color="auto"/>
        <w:left w:val="none" w:sz="0" w:space="0" w:color="auto"/>
        <w:bottom w:val="none" w:sz="0" w:space="0" w:color="auto"/>
        <w:right w:val="none" w:sz="0" w:space="0" w:color="auto"/>
      </w:divBdr>
      <w:divsChild>
        <w:div w:id="651325063">
          <w:marLeft w:val="0"/>
          <w:marRight w:val="0"/>
          <w:marTop w:val="0"/>
          <w:marBottom w:val="0"/>
          <w:divBdr>
            <w:top w:val="none" w:sz="0" w:space="0" w:color="auto"/>
            <w:left w:val="none" w:sz="0" w:space="0" w:color="auto"/>
            <w:bottom w:val="none" w:sz="0" w:space="0" w:color="auto"/>
            <w:right w:val="none" w:sz="0" w:space="0" w:color="auto"/>
          </w:divBdr>
        </w:div>
        <w:div w:id="1019576111">
          <w:marLeft w:val="0"/>
          <w:marRight w:val="0"/>
          <w:marTop w:val="0"/>
          <w:marBottom w:val="0"/>
          <w:divBdr>
            <w:top w:val="none" w:sz="0" w:space="0" w:color="auto"/>
            <w:left w:val="none" w:sz="0" w:space="0" w:color="auto"/>
            <w:bottom w:val="none" w:sz="0" w:space="0" w:color="auto"/>
            <w:right w:val="none" w:sz="0" w:space="0" w:color="auto"/>
          </w:divBdr>
        </w:div>
        <w:div w:id="1240672328">
          <w:marLeft w:val="0"/>
          <w:marRight w:val="0"/>
          <w:marTop w:val="0"/>
          <w:marBottom w:val="0"/>
          <w:divBdr>
            <w:top w:val="none" w:sz="0" w:space="0" w:color="auto"/>
            <w:left w:val="none" w:sz="0" w:space="0" w:color="auto"/>
            <w:bottom w:val="none" w:sz="0" w:space="0" w:color="auto"/>
            <w:right w:val="none" w:sz="0" w:space="0" w:color="auto"/>
          </w:divBdr>
        </w:div>
        <w:div w:id="1455755538">
          <w:marLeft w:val="0"/>
          <w:marRight w:val="0"/>
          <w:marTop w:val="0"/>
          <w:marBottom w:val="0"/>
          <w:divBdr>
            <w:top w:val="none" w:sz="0" w:space="0" w:color="auto"/>
            <w:left w:val="none" w:sz="0" w:space="0" w:color="auto"/>
            <w:bottom w:val="none" w:sz="0" w:space="0" w:color="auto"/>
            <w:right w:val="none" w:sz="0" w:space="0" w:color="auto"/>
          </w:divBdr>
        </w:div>
        <w:div w:id="1476222465">
          <w:marLeft w:val="0"/>
          <w:marRight w:val="0"/>
          <w:marTop w:val="0"/>
          <w:marBottom w:val="0"/>
          <w:divBdr>
            <w:top w:val="none" w:sz="0" w:space="0" w:color="auto"/>
            <w:left w:val="none" w:sz="0" w:space="0" w:color="auto"/>
            <w:bottom w:val="none" w:sz="0" w:space="0" w:color="auto"/>
            <w:right w:val="none" w:sz="0" w:space="0" w:color="auto"/>
          </w:divBdr>
        </w:div>
        <w:div w:id="1605841770">
          <w:marLeft w:val="0"/>
          <w:marRight w:val="0"/>
          <w:marTop w:val="0"/>
          <w:marBottom w:val="0"/>
          <w:divBdr>
            <w:top w:val="none" w:sz="0" w:space="0" w:color="auto"/>
            <w:left w:val="none" w:sz="0" w:space="0" w:color="auto"/>
            <w:bottom w:val="none" w:sz="0" w:space="0" w:color="auto"/>
            <w:right w:val="none" w:sz="0" w:space="0" w:color="auto"/>
          </w:divBdr>
        </w:div>
        <w:div w:id="1836921678">
          <w:marLeft w:val="0"/>
          <w:marRight w:val="0"/>
          <w:marTop w:val="0"/>
          <w:marBottom w:val="0"/>
          <w:divBdr>
            <w:top w:val="none" w:sz="0" w:space="0" w:color="auto"/>
            <w:left w:val="none" w:sz="0" w:space="0" w:color="auto"/>
            <w:bottom w:val="none" w:sz="0" w:space="0" w:color="auto"/>
            <w:right w:val="none" w:sz="0" w:space="0" w:color="auto"/>
          </w:divBdr>
        </w:div>
        <w:div w:id="1922443970">
          <w:marLeft w:val="0"/>
          <w:marRight w:val="0"/>
          <w:marTop w:val="0"/>
          <w:marBottom w:val="0"/>
          <w:divBdr>
            <w:top w:val="none" w:sz="0" w:space="0" w:color="auto"/>
            <w:left w:val="none" w:sz="0" w:space="0" w:color="auto"/>
            <w:bottom w:val="none" w:sz="0" w:space="0" w:color="auto"/>
            <w:right w:val="none" w:sz="0" w:space="0" w:color="auto"/>
          </w:divBdr>
        </w:div>
        <w:div w:id="1961917243">
          <w:marLeft w:val="0"/>
          <w:marRight w:val="0"/>
          <w:marTop w:val="0"/>
          <w:marBottom w:val="0"/>
          <w:divBdr>
            <w:top w:val="none" w:sz="0" w:space="0" w:color="auto"/>
            <w:left w:val="none" w:sz="0" w:space="0" w:color="auto"/>
            <w:bottom w:val="none" w:sz="0" w:space="0" w:color="auto"/>
            <w:right w:val="none" w:sz="0" w:space="0" w:color="auto"/>
          </w:divBdr>
        </w:div>
      </w:divsChild>
    </w:div>
    <w:div w:id="1208027314">
      <w:bodyDiv w:val="1"/>
      <w:marLeft w:val="0"/>
      <w:marRight w:val="0"/>
      <w:marTop w:val="0"/>
      <w:marBottom w:val="0"/>
      <w:divBdr>
        <w:top w:val="none" w:sz="0" w:space="0" w:color="auto"/>
        <w:left w:val="none" w:sz="0" w:space="0" w:color="auto"/>
        <w:bottom w:val="none" w:sz="0" w:space="0" w:color="auto"/>
        <w:right w:val="none" w:sz="0" w:space="0" w:color="auto"/>
      </w:divBdr>
    </w:div>
    <w:div w:id="1561163060">
      <w:bodyDiv w:val="1"/>
      <w:marLeft w:val="0"/>
      <w:marRight w:val="0"/>
      <w:marTop w:val="0"/>
      <w:marBottom w:val="0"/>
      <w:divBdr>
        <w:top w:val="none" w:sz="0" w:space="0" w:color="auto"/>
        <w:left w:val="none" w:sz="0" w:space="0" w:color="auto"/>
        <w:bottom w:val="none" w:sz="0" w:space="0" w:color="auto"/>
        <w:right w:val="none" w:sz="0" w:space="0" w:color="auto"/>
      </w:divBdr>
    </w:div>
    <w:div w:id="187533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cchelp.org/wp-content/uploads/2018/08/EDITED-2017-2021-State-plan-goals-and-objectives-ALL.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i-s.umn.edu/files/aCHyYaFjMi/risp_201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tacchelp.org/federal-reporting-resources/five-year-state-pl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acchelp.org/wp-content/uploads/2020/02/FINAL_TD_Info_Brief_PDF_2_26_202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Matney</dc:creator>
  <cp:keywords/>
  <dc:description/>
  <cp:lastModifiedBy>Sheryl Matney</cp:lastModifiedBy>
  <cp:revision>4</cp:revision>
  <dcterms:created xsi:type="dcterms:W3CDTF">2020-11-12T12:36:00Z</dcterms:created>
  <dcterms:modified xsi:type="dcterms:W3CDTF">2020-11-12T19:03:00Z</dcterms:modified>
</cp:coreProperties>
</file>